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9884" w14:textId="77777777" w:rsidR="008C79E7" w:rsidRPr="000A17B7" w:rsidRDefault="008C79E7" w:rsidP="008C79E7">
      <w:pPr>
        <w:pStyle w:val="Default"/>
        <w:rPr>
          <w:rFonts w:ascii="Calibri Light" w:hAnsi="Calibri Light" w:cs="Calibri Light"/>
          <w:b/>
          <w:color w:val="auto"/>
          <w:sz w:val="28"/>
          <w:szCs w:val="28"/>
          <w:lang w:val="en-US" w:eastAsia="en-GB"/>
        </w:rPr>
      </w:pPr>
      <w:r>
        <w:rPr>
          <w:rFonts w:ascii="Calibri Light" w:hAnsi="Calibri Light" w:cs="Calibri Light"/>
          <w:noProof/>
          <w:lang w:eastAsia="en-GB"/>
        </w:rPr>
        <w:drawing>
          <wp:inline distT="0" distB="0" distL="0" distR="0" wp14:anchorId="2E041EE8" wp14:editId="6F22811F">
            <wp:extent cx="1437823" cy="1061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013" cy="1068506"/>
                    </a:xfrm>
                    <a:prstGeom prst="rect">
                      <a:avLst/>
                    </a:prstGeom>
                  </pic:spPr>
                </pic:pic>
              </a:graphicData>
            </a:graphic>
          </wp:inline>
        </w:drawing>
      </w:r>
      <w:r w:rsidRPr="00DD0D4B">
        <w:rPr>
          <w:rFonts w:ascii="Calibri Light" w:hAnsi="Calibri Light" w:cs="Calibri Light"/>
          <w:noProof/>
          <w:lang w:eastAsia="en-GB"/>
        </w:rPr>
        <mc:AlternateContent>
          <mc:Choice Requires="wps">
            <w:drawing>
              <wp:anchor distT="0" distB="0" distL="114935" distR="114935" simplePos="0" relativeHeight="251659264" behindDoc="0" locked="0" layoutInCell="1" allowOverlap="1" wp14:anchorId="19C0701C" wp14:editId="0699A0BE">
                <wp:simplePos x="0" y="0"/>
                <wp:positionH relativeFrom="column">
                  <wp:posOffset>2484120</wp:posOffset>
                </wp:positionH>
                <wp:positionV relativeFrom="paragraph">
                  <wp:posOffset>132080</wp:posOffset>
                </wp:positionV>
                <wp:extent cx="3679825" cy="744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744220"/>
                        </a:xfrm>
                        <a:prstGeom prst="rect">
                          <a:avLst/>
                        </a:prstGeom>
                        <a:solidFill>
                          <a:srgbClr val="FFFFFF"/>
                        </a:solidFill>
                        <a:ln w="57150" cmpd="thinThick">
                          <a:solidFill>
                            <a:srgbClr val="000000"/>
                          </a:solidFill>
                          <a:miter lim="800000"/>
                          <a:headEnd/>
                          <a:tailEnd/>
                        </a:ln>
                      </wps:spPr>
                      <wps:txbx>
                        <w:txbxContent>
                          <w:p w14:paraId="5032A7FA" w14:textId="3D38CF01" w:rsidR="008C79E7" w:rsidRPr="008C79E7" w:rsidRDefault="008C79E7" w:rsidP="008C79E7">
                            <w:pPr>
                              <w:jc w:val="center"/>
                              <w:rPr>
                                <w:lang w:val="en-US"/>
                              </w:rPr>
                            </w:pPr>
                            <w:r>
                              <w:rPr>
                                <w:rFonts w:ascii="Tahoma" w:hAnsi="Tahoma" w:cs="Tahoma"/>
                                <w:b/>
                                <w:bCs/>
                                <w:sz w:val="36"/>
                                <w:szCs w:val="28"/>
                                <w:lang w:val="en-US"/>
                              </w:rPr>
                              <w:t>Foodbank Advice Service Confidentiality Policy</w:t>
                            </w:r>
                          </w:p>
                        </w:txbxContent>
                      </wps:txbx>
                      <wps:bodyPr rot="0" vert="horz" wrap="square" lIns="80010" tIns="34290" rIns="80010" bIns="342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0701C" id="_x0000_t202" coordsize="21600,21600" o:spt="202" path="m,l,21600r21600,l21600,xe">
                <v:stroke joinstyle="miter"/>
                <v:path gradientshapeok="t" o:connecttype="rect"/>
              </v:shapetype>
              <v:shape id="Text Box 2" o:spid="_x0000_s1026" type="#_x0000_t202" style="position:absolute;margin-left:195.6pt;margin-top:10.4pt;width:289.75pt;height:5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" strokeweight="4.5pt">
                <v:stroke linestyle="thinThick"/>
                <v:textbox inset="6.3pt,2.7pt,6.3pt,2.7pt">
                  <w:txbxContent>
                    <w:p w14:paraId="5032A7FA" w14:textId="3D38CF01" w:rsidR="008C79E7" w:rsidRPr="008C79E7" w:rsidRDefault="008C79E7" w:rsidP="008C79E7">
                      <w:pPr>
                        <w:jc w:val="center"/>
                        <w:rPr>
                          <w:lang w:val="en-US"/>
                        </w:rPr>
                      </w:pPr>
                      <w:r>
                        <w:rPr>
                          <w:rFonts w:ascii="Tahoma" w:hAnsi="Tahoma" w:cs="Tahoma"/>
                          <w:b/>
                          <w:bCs/>
                          <w:sz w:val="36"/>
                          <w:szCs w:val="28"/>
                          <w:lang w:val="en-US"/>
                        </w:rPr>
                        <w:t>Foodbank Advice Service Confidentiality Policy</w:t>
                      </w:r>
                    </w:p>
                  </w:txbxContent>
                </v:textbox>
              </v:shape>
            </w:pict>
          </mc:Fallback>
        </mc:AlternateContent>
      </w:r>
    </w:p>
    <w:p w14:paraId="5A050446" w14:textId="77777777" w:rsidR="008C79E7" w:rsidRPr="00DD0D4B" w:rsidRDefault="008C79E7" w:rsidP="008C79E7">
      <w:pPr>
        <w:pStyle w:val="Default"/>
        <w:rPr>
          <w:rFonts w:ascii="Calibri Light" w:hAnsi="Calibri Light" w:cs="Calibri Light"/>
          <w:b/>
          <w:color w:val="auto"/>
          <w:szCs w:val="28"/>
        </w:rPr>
      </w:pPr>
    </w:p>
    <w:p w14:paraId="0D81E93E" w14:textId="77777777" w:rsidR="008C79E7" w:rsidRPr="000D7B87" w:rsidRDefault="008C79E7" w:rsidP="008C79E7">
      <w:pPr>
        <w:pStyle w:val="Default"/>
        <w:rPr>
          <w:rFonts w:ascii="Calibri Light" w:hAnsi="Calibri Light" w:cs="Calibri Light"/>
          <w:b/>
          <w:color w:val="auto"/>
          <w:sz w:val="8"/>
          <w:szCs w:val="8"/>
        </w:rPr>
      </w:pPr>
    </w:p>
    <w:tbl>
      <w:tblPr>
        <w:tblW w:w="9758" w:type="dxa"/>
        <w:tblInd w:w="-5" w:type="dxa"/>
        <w:tblLayout w:type="fixed"/>
        <w:tblLook w:val="0000" w:firstRow="0" w:lastRow="0" w:firstColumn="0" w:lastColumn="0" w:noHBand="0" w:noVBand="0"/>
      </w:tblPr>
      <w:tblGrid>
        <w:gridCol w:w="3030"/>
        <w:gridCol w:w="6728"/>
      </w:tblGrid>
      <w:tr w:rsidR="008C79E7" w:rsidRPr="00DD0D4B" w14:paraId="6DA06D0D" w14:textId="77777777" w:rsidTr="005E069C">
        <w:trPr>
          <w:trHeight w:val="799"/>
        </w:trPr>
        <w:tc>
          <w:tcPr>
            <w:tcW w:w="3030" w:type="dxa"/>
            <w:tcBorders>
              <w:top w:val="single" w:sz="4" w:space="0" w:color="000000"/>
              <w:left w:val="single" w:sz="4" w:space="0" w:color="000000"/>
              <w:bottom w:val="single" w:sz="4" w:space="0" w:color="000000"/>
            </w:tcBorders>
            <w:shd w:val="clear" w:color="auto" w:fill="E6E6E6"/>
            <w:vAlign w:val="center"/>
          </w:tcPr>
          <w:p w14:paraId="4BDDB402" w14:textId="77777777" w:rsidR="008C79E7" w:rsidRPr="00DD0D4B" w:rsidRDefault="008C79E7" w:rsidP="005E069C">
            <w:pPr>
              <w:pStyle w:val="Default"/>
              <w:rPr>
                <w:rFonts w:ascii="Calibri Light" w:hAnsi="Calibri Light" w:cs="Calibri Light"/>
                <w:b/>
                <w:bCs/>
              </w:rPr>
            </w:pPr>
            <w:r w:rsidRPr="00DD0D4B">
              <w:rPr>
                <w:rFonts w:ascii="Calibri Light" w:hAnsi="Calibri Light" w:cs="Calibri Light"/>
                <w:b/>
                <w:bCs/>
                <w:color w:val="auto"/>
                <w:szCs w:val="23"/>
              </w:rPr>
              <w:t>Purpose of this Statement</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8B51" w14:textId="2FB45F4E" w:rsidR="008C79E7" w:rsidRPr="00536E4C" w:rsidRDefault="008C79E7" w:rsidP="005E069C">
            <w:pPr>
              <w:pStyle w:val="Default"/>
              <w:rPr>
                <w:rFonts w:ascii="Calibri Light" w:hAnsi="Calibri Light" w:cs="Calibri Light"/>
                <w:color w:val="00B050"/>
              </w:rPr>
            </w:pPr>
            <w:r w:rsidRPr="00DD0D4B">
              <w:rPr>
                <w:rFonts w:ascii="Calibri Light" w:hAnsi="Calibri Light" w:cs="Calibri Light"/>
                <w:color w:val="auto"/>
                <w:szCs w:val="23"/>
              </w:rPr>
              <w:t xml:space="preserve">To detail the </w:t>
            </w:r>
            <w:r>
              <w:rPr>
                <w:rFonts w:ascii="Calibri Light" w:hAnsi="Calibri Light" w:cs="Calibri Light"/>
                <w:color w:val="auto"/>
                <w:szCs w:val="23"/>
              </w:rPr>
              <w:t>Confidentiality Policy</w:t>
            </w:r>
            <w:r w:rsidRPr="00DD0D4B">
              <w:rPr>
                <w:rFonts w:ascii="Calibri Light" w:hAnsi="Calibri Light" w:cs="Calibri Light"/>
                <w:color w:val="auto"/>
                <w:szCs w:val="23"/>
              </w:rPr>
              <w:t xml:space="preserve"> </w:t>
            </w:r>
            <w:r>
              <w:rPr>
                <w:rFonts w:ascii="Calibri Light" w:hAnsi="Calibri Light" w:cs="Calibri Light"/>
                <w:color w:val="auto"/>
                <w:szCs w:val="23"/>
              </w:rPr>
              <w:t>of the</w:t>
            </w:r>
            <w:r w:rsidRPr="00DD0D4B">
              <w:rPr>
                <w:rFonts w:ascii="Calibri Light" w:hAnsi="Calibri Light" w:cs="Calibri Light"/>
                <w:color w:val="auto"/>
                <w:szCs w:val="23"/>
              </w:rPr>
              <w:t xml:space="preserve"> </w:t>
            </w:r>
            <w:r>
              <w:rPr>
                <w:rFonts w:ascii="Calibri Light" w:hAnsi="Calibri Light" w:cs="Calibri Light"/>
                <w:color w:val="auto"/>
                <w:szCs w:val="23"/>
              </w:rPr>
              <w:t xml:space="preserve">Churches Together in Bexhill </w:t>
            </w:r>
            <w:r w:rsidRPr="00295F34">
              <w:rPr>
                <w:rFonts w:ascii="Calibri Light" w:hAnsi="Calibri Light" w:cs="Calibri Light"/>
                <w:color w:val="auto"/>
                <w:szCs w:val="23"/>
              </w:rPr>
              <w:t xml:space="preserve">Foodbank </w:t>
            </w:r>
            <w:r>
              <w:rPr>
                <w:rFonts w:ascii="Calibri Light" w:hAnsi="Calibri Light" w:cs="Calibri Light"/>
                <w:color w:val="auto"/>
                <w:szCs w:val="23"/>
              </w:rPr>
              <w:t xml:space="preserve">Advice Service </w:t>
            </w:r>
            <w:r w:rsidRPr="00295F34">
              <w:rPr>
                <w:rFonts w:ascii="Calibri Light" w:hAnsi="Calibri Light" w:cs="Calibri Light"/>
                <w:color w:val="auto"/>
                <w:szCs w:val="23"/>
              </w:rPr>
              <w:t xml:space="preserve">(hereafter called </w:t>
            </w:r>
            <w:r w:rsidR="002D46CC">
              <w:rPr>
                <w:rFonts w:ascii="Calibri Light" w:hAnsi="Calibri Light" w:cs="Calibri Light"/>
                <w:color w:val="auto"/>
                <w:szCs w:val="23"/>
              </w:rPr>
              <w:t>the</w:t>
            </w:r>
            <w:r>
              <w:rPr>
                <w:rFonts w:ascii="Calibri Light" w:hAnsi="Calibri Light" w:cs="Calibri Light"/>
                <w:color w:val="auto"/>
                <w:szCs w:val="23"/>
              </w:rPr>
              <w:t xml:space="preserve"> Advice Service</w:t>
            </w:r>
            <w:r w:rsidRPr="00295F34">
              <w:rPr>
                <w:rFonts w:ascii="Calibri Light" w:hAnsi="Calibri Light" w:cs="Calibri Light"/>
                <w:color w:val="auto"/>
                <w:szCs w:val="23"/>
              </w:rPr>
              <w:t>).</w:t>
            </w:r>
          </w:p>
        </w:tc>
      </w:tr>
      <w:tr w:rsidR="008C79E7" w:rsidRPr="00DD0D4B" w14:paraId="59F00FA3" w14:textId="77777777" w:rsidTr="005E069C">
        <w:trPr>
          <w:trHeight w:val="528"/>
        </w:trPr>
        <w:tc>
          <w:tcPr>
            <w:tcW w:w="3030" w:type="dxa"/>
            <w:tcBorders>
              <w:top w:val="single" w:sz="4" w:space="0" w:color="000000"/>
              <w:left w:val="single" w:sz="4" w:space="0" w:color="000000"/>
              <w:bottom w:val="single" w:sz="4" w:space="0" w:color="000000"/>
            </w:tcBorders>
            <w:shd w:val="clear" w:color="auto" w:fill="E6E6E6"/>
            <w:vAlign w:val="center"/>
          </w:tcPr>
          <w:p w14:paraId="3E8488A1" w14:textId="3EB3EA69" w:rsidR="008C79E7" w:rsidRPr="00DD0D4B" w:rsidRDefault="008C79E7" w:rsidP="005E069C">
            <w:pPr>
              <w:pStyle w:val="Default"/>
              <w:rPr>
                <w:rFonts w:ascii="Calibri Light" w:hAnsi="Calibri Light" w:cs="Calibri Light"/>
                <w:b/>
                <w:bCs/>
              </w:rPr>
            </w:pPr>
            <w:r w:rsidRPr="00DD0D4B">
              <w:rPr>
                <w:rFonts w:ascii="Calibri Light" w:hAnsi="Calibri Light" w:cs="Calibri Light"/>
                <w:b/>
                <w:bCs/>
                <w:color w:val="auto"/>
                <w:szCs w:val="23"/>
              </w:rPr>
              <w:t>Date</w:t>
            </w:r>
            <w:r>
              <w:rPr>
                <w:rFonts w:ascii="Calibri Light" w:hAnsi="Calibri Light" w:cs="Calibri Light"/>
                <w:b/>
                <w:bCs/>
                <w:color w:val="auto"/>
                <w:szCs w:val="23"/>
              </w:rPr>
              <w:t xml:space="preserve"> Policy First Agreed</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5A88" w14:textId="5C93F625" w:rsidR="008C79E7" w:rsidRPr="00DD0D4B" w:rsidRDefault="00072D36" w:rsidP="005E069C">
            <w:pPr>
              <w:pStyle w:val="Default"/>
              <w:rPr>
                <w:rFonts w:ascii="Calibri Light" w:hAnsi="Calibri Light" w:cs="Calibri Light"/>
              </w:rPr>
            </w:pPr>
            <w:r>
              <w:rPr>
                <w:rFonts w:ascii="Calibri Light" w:hAnsi="Calibri Light" w:cs="Calibri Light"/>
                <w:color w:val="auto"/>
                <w:szCs w:val="23"/>
              </w:rPr>
              <w:t>April</w:t>
            </w:r>
            <w:r w:rsidR="008C79E7">
              <w:rPr>
                <w:rFonts w:ascii="Calibri Light" w:hAnsi="Calibri Light" w:cs="Calibri Light"/>
                <w:color w:val="auto"/>
                <w:szCs w:val="23"/>
              </w:rPr>
              <w:t xml:space="preserve"> 202</w:t>
            </w:r>
            <w:r w:rsidR="002D46CC">
              <w:rPr>
                <w:rFonts w:ascii="Calibri Light" w:hAnsi="Calibri Light" w:cs="Calibri Light"/>
                <w:color w:val="auto"/>
                <w:szCs w:val="23"/>
              </w:rPr>
              <w:t>4</w:t>
            </w:r>
          </w:p>
        </w:tc>
      </w:tr>
      <w:tr w:rsidR="008C79E7" w:rsidRPr="00DD0D4B" w14:paraId="6EA643E2" w14:textId="77777777" w:rsidTr="005E069C">
        <w:trPr>
          <w:trHeight w:val="528"/>
        </w:trPr>
        <w:tc>
          <w:tcPr>
            <w:tcW w:w="3030" w:type="dxa"/>
            <w:tcBorders>
              <w:top w:val="single" w:sz="4" w:space="0" w:color="000000"/>
              <w:left w:val="single" w:sz="4" w:space="0" w:color="000000"/>
              <w:bottom w:val="single" w:sz="4" w:space="0" w:color="000000"/>
            </w:tcBorders>
            <w:shd w:val="clear" w:color="auto" w:fill="E6E6E6"/>
            <w:vAlign w:val="center"/>
          </w:tcPr>
          <w:p w14:paraId="574EA85E" w14:textId="035FD1FA" w:rsidR="008C79E7" w:rsidRPr="00DD0D4B" w:rsidRDefault="008C79E7" w:rsidP="005E069C">
            <w:pPr>
              <w:pStyle w:val="Default"/>
              <w:rPr>
                <w:rFonts w:ascii="Calibri Light" w:hAnsi="Calibri Light" w:cs="Calibri Light"/>
                <w:b/>
                <w:bCs/>
                <w:color w:val="auto"/>
                <w:szCs w:val="23"/>
              </w:rPr>
            </w:pPr>
            <w:r>
              <w:rPr>
                <w:rFonts w:ascii="Calibri Light" w:hAnsi="Calibri Light" w:cs="Calibri Light"/>
                <w:b/>
                <w:bCs/>
                <w:color w:val="auto"/>
                <w:szCs w:val="23"/>
              </w:rPr>
              <w:t>Policy Review Date</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155B" w14:textId="61582D1B" w:rsidR="008C79E7" w:rsidRDefault="00072D36" w:rsidP="005E069C">
            <w:pPr>
              <w:pStyle w:val="Default"/>
              <w:rPr>
                <w:rFonts w:ascii="Calibri Light" w:hAnsi="Calibri Light" w:cs="Calibri Light"/>
                <w:color w:val="auto"/>
                <w:szCs w:val="23"/>
              </w:rPr>
            </w:pPr>
            <w:r>
              <w:rPr>
                <w:rFonts w:ascii="Calibri Light" w:hAnsi="Calibri Light" w:cs="Calibri Light"/>
                <w:color w:val="auto"/>
                <w:szCs w:val="23"/>
              </w:rPr>
              <w:t>April</w:t>
            </w:r>
            <w:r w:rsidR="008C79E7">
              <w:rPr>
                <w:rFonts w:ascii="Calibri Light" w:hAnsi="Calibri Light" w:cs="Calibri Light"/>
                <w:color w:val="auto"/>
                <w:szCs w:val="23"/>
              </w:rPr>
              <w:t xml:space="preserve"> 202</w:t>
            </w:r>
            <w:r w:rsidR="002D46CC">
              <w:rPr>
                <w:rFonts w:ascii="Calibri Light" w:hAnsi="Calibri Light" w:cs="Calibri Light"/>
                <w:color w:val="auto"/>
                <w:szCs w:val="23"/>
              </w:rPr>
              <w:t>5</w:t>
            </w:r>
          </w:p>
        </w:tc>
      </w:tr>
      <w:tr w:rsidR="002D46CC" w:rsidRPr="00DD0D4B" w14:paraId="2688D4B5" w14:textId="77777777" w:rsidTr="005E069C">
        <w:trPr>
          <w:trHeight w:val="528"/>
        </w:trPr>
        <w:tc>
          <w:tcPr>
            <w:tcW w:w="3030" w:type="dxa"/>
            <w:tcBorders>
              <w:top w:val="single" w:sz="4" w:space="0" w:color="000000"/>
              <w:left w:val="single" w:sz="4" w:space="0" w:color="000000"/>
              <w:bottom w:val="single" w:sz="4" w:space="0" w:color="000000"/>
            </w:tcBorders>
            <w:shd w:val="clear" w:color="auto" w:fill="E6E6E6"/>
            <w:vAlign w:val="center"/>
          </w:tcPr>
          <w:p w14:paraId="103B733E" w14:textId="6E906F53" w:rsidR="002D46CC" w:rsidRDefault="002D46CC" w:rsidP="005E069C">
            <w:pPr>
              <w:pStyle w:val="Default"/>
              <w:rPr>
                <w:rFonts w:ascii="Calibri Light" w:hAnsi="Calibri Light" w:cs="Calibri Light"/>
                <w:b/>
                <w:bCs/>
                <w:color w:val="auto"/>
                <w:szCs w:val="23"/>
              </w:rPr>
            </w:pPr>
            <w:r>
              <w:rPr>
                <w:rFonts w:ascii="Calibri Light" w:hAnsi="Calibri Light" w:cs="Calibri Light"/>
                <w:b/>
                <w:bCs/>
                <w:color w:val="auto"/>
                <w:szCs w:val="23"/>
              </w:rPr>
              <w:t>Review Frequency</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CD17" w14:textId="62EADAE9" w:rsidR="002D46CC" w:rsidRDefault="002D46CC" w:rsidP="005E069C">
            <w:pPr>
              <w:pStyle w:val="Default"/>
              <w:rPr>
                <w:rFonts w:ascii="Calibri Light" w:hAnsi="Calibri Light" w:cs="Calibri Light"/>
                <w:color w:val="auto"/>
                <w:szCs w:val="23"/>
              </w:rPr>
            </w:pPr>
            <w:r>
              <w:rPr>
                <w:rFonts w:ascii="Calibri Light" w:hAnsi="Calibri Light" w:cs="Calibri Light"/>
                <w:color w:val="auto"/>
                <w:szCs w:val="23"/>
              </w:rPr>
              <w:t>Yearly</w:t>
            </w:r>
          </w:p>
        </w:tc>
      </w:tr>
      <w:tr w:rsidR="008C79E7" w:rsidRPr="00DD0D4B" w14:paraId="4E83B6AE" w14:textId="77777777" w:rsidTr="005E069C">
        <w:trPr>
          <w:trHeight w:val="517"/>
        </w:trPr>
        <w:tc>
          <w:tcPr>
            <w:tcW w:w="3030" w:type="dxa"/>
            <w:tcBorders>
              <w:top w:val="single" w:sz="4" w:space="0" w:color="000000"/>
              <w:left w:val="single" w:sz="4" w:space="0" w:color="000000"/>
              <w:bottom w:val="single" w:sz="4" w:space="0" w:color="000000"/>
            </w:tcBorders>
            <w:shd w:val="clear" w:color="auto" w:fill="E6E6E6"/>
            <w:vAlign w:val="center"/>
          </w:tcPr>
          <w:p w14:paraId="6994C058" w14:textId="54561BD3" w:rsidR="008C79E7" w:rsidRPr="00DD0D4B" w:rsidRDefault="008C79E7" w:rsidP="005E069C">
            <w:pPr>
              <w:pStyle w:val="Default"/>
              <w:rPr>
                <w:rFonts w:ascii="Calibri Light" w:hAnsi="Calibri Light" w:cs="Calibri Light"/>
                <w:b/>
                <w:bCs/>
              </w:rPr>
            </w:pPr>
            <w:r>
              <w:rPr>
                <w:rFonts w:ascii="Calibri Light" w:hAnsi="Calibri Light" w:cs="Calibri Light"/>
                <w:b/>
                <w:bCs/>
                <w:color w:val="auto"/>
                <w:szCs w:val="23"/>
              </w:rPr>
              <w:t>Policy Owner</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F1E6" w14:textId="4741AEAF" w:rsidR="008C79E7" w:rsidRPr="00DD0D4B" w:rsidRDefault="008C79E7" w:rsidP="005E069C">
            <w:pPr>
              <w:pStyle w:val="Default"/>
              <w:rPr>
                <w:rFonts w:ascii="Calibri Light" w:hAnsi="Calibri Light" w:cs="Calibri Light"/>
              </w:rPr>
            </w:pPr>
            <w:r>
              <w:rPr>
                <w:rFonts w:ascii="Calibri Light" w:hAnsi="Calibri Light" w:cs="Calibri Light"/>
                <w:color w:val="auto"/>
                <w:szCs w:val="23"/>
              </w:rPr>
              <w:t>Advice Service Manager</w:t>
            </w:r>
          </w:p>
        </w:tc>
      </w:tr>
    </w:tbl>
    <w:p w14:paraId="7A0C3051" w14:textId="77777777" w:rsidR="008C79E7" w:rsidRDefault="008C79E7" w:rsidP="00D14D66"/>
    <w:p w14:paraId="6B645D53" w14:textId="77777777" w:rsidR="00DB72D1" w:rsidRPr="00026E94" w:rsidRDefault="007974DE" w:rsidP="00D14D66">
      <w:pPr>
        <w:rPr>
          <w:sz w:val="24"/>
          <w:szCs w:val="24"/>
        </w:rPr>
      </w:pPr>
      <w:r w:rsidRPr="00026E94">
        <w:rPr>
          <w:sz w:val="24"/>
          <w:szCs w:val="24"/>
        </w:rPr>
        <w:t xml:space="preserve">The Bexhill Foodbank </w:t>
      </w:r>
      <w:r w:rsidR="00D14D66" w:rsidRPr="00026E94">
        <w:rPr>
          <w:sz w:val="24"/>
          <w:szCs w:val="24"/>
        </w:rPr>
        <w:t xml:space="preserve">Advice </w:t>
      </w:r>
      <w:r w:rsidRPr="00026E94">
        <w:rPr>
          <w:sz w:val="24"/>
          <w:szCs w:val="24"/>
        </w:rPr>
        <w:t>Service</w:t>
      </w:r>
      <w:r w:rsidR="00D14D66" w:rsidRPr="00026E94">
        <w:rPr>
          <w:sz w:val="24"/>
          <w:szCs w:val="24"/>
        </w:rPr>
        <w:t xml:space="preserve"> is committed to providing a confidential advice service to its users</w:t>
      </w:r>
      <w:r w:rsidR="00DB72D1" w:rsidRPr="00026E94">
        <w:rPr>
          <w:sz w:val="24"/>
          <w:szCs w:val="24"/>
        </w:rPr>
        <w:t>; to protect their interests and safeguard our service</w:t>
      </w:r>
      <w:r w:rsidR="00D14D66" w:rsidRPr="00026E94">
        <w:rPr>
          <w:sz w:val="24"/>
          <w:szCs w:val="24"/>
        </w:rPr>
        <w:t xml:space="preserve">.  The </w:t>
      </w:r>
      <w:r w:rsidRPr="00026E94">
        <w:rPr>
          <w:sz w:val="24"/>
          <w:szCs w:val="24"/>
        </w:rPr>
        <w:t>details</w:t>
      </w:r>
      <w:r w:rsidR="00D14D66" w:rsidRPr="00026E94">
        <w:rPr>
          <w:sz w:val="24"/>
          <w:szCs w:val="24"/>
        </w:rPr>
        <w:t xml:space="preserve"> of every user</w:t>
      </w:r>
      <w:r w:rsidRPr="00026E94">
        <w:rPr>
          <w:sz w:val="24"/>
          <w:szCs w:val="24"/>
        </w:rPr>
        <w:t>s situation</w:t>
      </w:r>
      <w:r w:rsidR="00D14D66" w:rsidRPr="00026E94">
        <w:rPr>
          <w:sz w:val="24"/>
          <w:szCs w:val="24"/>
        </w:rPr>
        <w:t xml:space="preserve"> will be treated with respect and in confidence.  </w:t>
      </w:r>
    </w:p>
    <w:p w14:paraId="1438BE31" w14:textId="1D8DFE60" w:rsidR="00D14D66" w:rsidRPr="00026E94" w:rsidRDefault="00D14D66" w:rsidP="00D14D66">
      <w:pPr>
        <w:rPr>
          <w:sz w:val="24"/>
          <w:szCs w:val="24"/>
        </w:rPr>
      </w:pPr>
      <w:r w:rsidRPr="00026E94">
        <w:rPr>
          <w:sz w:val="24"/>
          <w:szCs w:val="24"/>
        </w:rPr>
        <w:t xml:space="preserve">We also understand this to mean that any information held by the Advice </w:t>
      </w:r>
      <w:r w:rsidR="007974DE" w:rsidRPr="00026E94">
        <w:rPr>
          <w:sz w:val="24"/>
          <w:szCs w:val="24"/>
        </w:rPr>
        <w:t xml:space="preserve">Service </w:t>
      </w:r>
      <w:r w:rsidRPr="00026E94">
        <w:rPr>
          <w:sz w:val="24"/>
          <w:szCs w:val="24"/>
        </w:rPr>
        <w:t>may not be disclosed to a third party in any form that might identify the user without their express permission.  (Where confidentiality has to be breached the proper organisational procedure will be applied</w:t>
      </w:r>
      <w:r w:rsidR="007974DE" w:rsidRPr="00026E94">
        <w:rPr>
          <w:sz w:val="24"/>
          <w:szCs w:val="24"/>
        </w:rPr>
        <w:t>, as detailed b</w:t>
      </w:r>
      <w:r w:rsidR="00BC7BB1" w:rsidRPr="00026E94">
        <w:rPr>
          <w:sz w:val="24"/>
          <w:szCs w:val="24"/>
        </w:rPr>
        <w:t>e</w:t>
      </w:r>
      <w:r w:rsidR="007974DE" w:rsidRPr="00026E94">
        <w:rPr>
          <w:sz w:val="24"/>
          <w:szCs w:val="24"/>
        </w:rPr>
        <w:t>low</w:t>
      </w:r>
      <w:r w:rsidRPr="00026E94">
        <w:rPr>
          <w:sz w:val="24"/>
          <w:szCs w:val="24"/>
        </w:rPr>
        <w:t>.)</w:t>
      </w:r>
    </w:p>
    <w:p w14:paraId="746F8475" w14:textId="49D5FFD8" w:rsidR="00D14D66" w:rsidRPr="00026E94" w:rsidRDefault="00BC7BB1" w:rsidP="00D14D66">
      <w:pPr>
        <w:rPr>
          <w:sz w:val="24"/>
          <w:szCs w:val="24"/>
        </w:rPr>
      </w:pPr>
      <w:r w:rsidRPr="00026E94">
        <w:rPr>
          <w:sz w:val="24"/>
          <w:szCs w:val="24"/>
        </w:rPr>
        <w:t>We</w:t>
      </w:r>
      <w:r w:rsidR="00D14D66" w:rsidRPr="00026E94">
        <w:rPr>
          <w:sz w:val="24"/>
          <w:szCs w:val="24"/>
        </w:rPr>
        <w:t xml:space="preserve"> identif</w:t>
      </w:r>
      <w:r w:rsidRPr="00026E94">
        <w:rPr>
          <w:sz w:val="24"/>
          <w:szCs w:val="24"/>
        </w:rPr>
        <w:t>y</w:t>
      </w:r>
      <w:r w:rsidR="00D14D66" w:rsidRPr="00026E94">
        <w:rPr>
          <w:sz w:val="24"/>
          <w:szCs w:val="24"/>
        </w:rPr>
        <w:t xml:space="preserve"> the boundaries of confidentiality to be defined in practical terms as a set of relationships between:</w:t>
      </w:r>
    </w:p>
    <w:p w14:paraId="75397F40" w14:textId="6A9500AB" w:rsidR="00D14D66" w:rsidRPr="00026E94" w:rsidRDefault="00D14D66" w:rsidP="00BC7BB1">
      <w:pPr>
        <w:pStyle w:val="ListParagraph"/>
        <w:numPr>
          <w:ilvl w:val="0"/>
          <w:numId w:val="1"/>
        </w:numPr>
        <w:rPr>
          <w:sz w:val="24"/>
          <w:szCs w:val="24"/>
        </w:rPr>
      </w:pPr>
      <w:r w:rsidRPr="00026E94">
        <w:rPr>
          <w:sz w:val="24"/>
          <w:szCs w:val="24"/>
        </w:rPr>
        <w:t xml:space="preserve">The </w:t>
      </w:r>
      <w:r w:rsidR="002A625E" w:rsidRPr="00026E94">
        <w:rPr>
          <w:sz w:val="24"/>
          <w:szCs w:val="24"/>
        </w:rPr>
        <w:t xml:space="preserve">client </w:t>
      </w:r>
      <w:r w:rsidRPr="00026E94">
        <w:rPr>
          <w:sz w:val="24"/>
          <w:szCs w:val="24"/>
        </w:rPr>
        <w:t>and the adviser</w:t>
      </w:r>
    </w:p>
    <w:p w14:paraId="39D3B91B" w14:textId="4ED9A88C" w:rsidR="00D14D66" w:rsidRPr="00026E94" w:rsidRDefault="00D14D66" w:rsidP="00BC7BB1">
      <w:pPr>
        <w:pStyle w:val="ListParagraph"/>
        <w:numPr>
          <w:ilvl w:val="0"/>
          <w:numId w:val="1"/>
        </w:numPr>
        <w:rPr>
          <w:sz w:val="24"/>
          <w:szCs w:val="24"/>
        </w:rPr>
      </w:pPr>
      <w:r w:rsidRPr="00026E94">
        <w:rPr>
          <w:sz w:val="24"/>
          <w:szCs w:val="24"/>
        </w:rPr>
        <w:t xml:space="preserve">The adviser and other members of the </w:t>
      </w:r>
      <w:r w:rsidR="00BC7BB1" w:rsidRPr="00026E94">
        <w:rPr>
          <w:sz w:val="24"/>
          <w:szCs w:val="24"/>
        </w:rPr>
        <w:t>foodbank</w:t>
      </w:r>
      <w:r w:rsidRPr="00026E94">
        <w:rPr>
          <w:sz w:val="24"/>
          <w:szCs w:val="24"/>
        </w:rPr>
        <w:t xml:space="preserve"> </w:t>
      </w:r>
      <w:r w:rsidR="00DB72D1" w:rsidRPr="00026E94">
        <w:rPr>
          <w:sz w:val="24"/>
          <w:szCs w:val="24"/>
        </w:rPr>
        <w:t xml:space="preserve">advice </w:t>
      </w:r>
      <w:r w:rsidRPr="00026E94">
        <w:rPr>
          <w:sz w:val="24"/>
          <w:szCs w:val="24"/>
        </w:rPr>
        <w:t xml:space="preserve">team </w:t>
      </w:r>
      <w:r w:rsidR="00DB72D1" w:rsidRPr="00026E94">
        <w:rPr>
          <w:sz w:val="24"/>
          <w:szCs w:val="24"/>
        </w:rPr>
        <w:t>(for the purpose of ensuring that the correct advice is delivered and a professional service is maintained)</w:t>
      </w:r>
    </w:p>
    <w:p w14:paraId="0A710838" w14:textId="0DAECADA" w:rsidR="00D14D66" w:rsidRPr="00026E94" w:rsidRDefault="00D14D66" w:rsidP="00BC7BB1">
      <w:pPr>
        <w:pStyle w:val="ListParagraph"/>
        <w:numPr>
          <w:ilvl w:val="0"/>
          <w:numId w:val="1"/>
        </w:numPr>
        <w:rPr>
          <w:sz w:val="24"/>
          <w:szCs w:val="24"/>
        </w:rPr>
      </w:pPr>
      <w:r w:rsidRPr="00026E94">
        <w:rPr>
          <w:sz w:val="24"/>
          <w:szCs w:val="24"/>
        </w:rPr>
        <w:t xml:space="preserve">The advice team and the </w:t>
      </w:r>
      <w:r w:rsidR="00DB72D1" w:rsidRPr="00026E94">
        <w:rPr>
          <w:sz w:val="24"/>
          <w:szCs w:val="24"/>
        </w:rPr>
        <w:t xml:space="preserve">Foodbank </w:t>
      </w:r>
      <w:r w:rsidR="00BC7BB1" w:rsidRPr="00026E94">
        <w:rPr>
          <w:sz w:val="24"/>
          <w:szCs w:val="24"/>
        </w:rPr>
        <w:t>Project Manager</w:t>
      </w:r>
    </w:p>
    <w:p w14:paraId="10179AC1" w14:textId="5CB0CFEE" w:rsidR="007739D7" w:rsidRPr="00026E94" w:rsidRDefault="007739D7" w:rsidP="00BC7BB1">
      <w:pPr>
        <w:pStyle w:val="ListParagraph"/>
        <w:numPr>
          <w:ilvl w:val="0"/>
          <w:numId w:val="1"/>
        </w:numPr>
        <w:rPr>
          <w:sz w:val="24"/>
          <w:szCs w:val="24"/>
        </w:rPr>
      </w:pPr>
      <w:r w:rsidRPr="00026E94">
        <w:rPr>
          <w:sz w:val="24"/>
          <w:szCs w:val="24"/>
        </w:rPr>
        <w:t>The Advice Service Manager and their case file supervisor (for the purpose of ensuring that the correct advice is delivered and a professional service is maintained)</w:t>
      </w:r>
    </w:p>
    <w:p w14:paraId="317F461C" w14:textId="2FB59B12" w:rsidR="00D14D66" w:rsidRPr="00026E94" w:rsidRDefault="00D14D66" w:rsidP="00D14D66">
      <w:pPr>
        <w:rPr>
          <w:sz w:val="24"/>
          <w:szCs w:val="24"/>
        </w:rPr>
      </w:pPr>
      <w:r w:rsidRPr="00026E94">
        <w:rPr>
          <w:sz w:val="24"/>
          <w:szCs w:val="24"/>
        </w:rPr>
        <w:t xml:space="preserve">Information, enquiries and cases may be discussed within these boundaries but the express permission of the </w:t>
      </w:r>
      <w:r w:rsidR="002A625E" w:rsidRPr="00026E94">
        <w:rPr>
          <w:sz w:val="24"/>
          <w:szCs w:val="24"/>
        </w:rPr>
        <w:t>client</w:t>
      </w:r>
      <w:r w:rsidRPr="00026E94">
        <w:rPr>
          <w:sz w:val="24"/>
          <w:szCs w:val="24"/>
        </w:rPr>
        <w:t xml:space="preserve"> must be secured before any discussion can take place or any information be divulged outside of this set of relationships. </w:t>
      </w:r>
    </w:p>
    <w:p w14:paraId="671DE0F9" w14:textId="5AFE8F59" w:rsidR="00D14D66" w:rsidRPr="00026E94" w:rsidRDefault="008E5943" w:rsidP="00D14D66">
      <w:pPr>
        <w:rPr>
          <w:sz w:val="24"/>
          <w:szCs w:val="24"/>
        </w:rPr>
      </w:pPr>
      <w:r w:rsidRPr="00026E94">
        <w:rPr>
          <w:sz w:val="24"/>
          <w:szCs w:val="24"/>
        </w:rPr>
        <w:t>I</w:t>
      </w:r>
      <w:r w:rsidR="00D14D66" w:rsidRPr="00026E94">
        <w:rPr>
          <w:sz w:val="24"/>
          <w:szCs w:val="24"/>
        </w:rPr>
        <w:t xml:space="preserve">t is the responsibility of all staff to ensure that no discussions relating to an individual </w:t>
      </w:r>
      <w:r w:rsidR="002A625E" w:rsidRPr="00026E94">
        <w:rPr>
          <w:sz w:val="24"/>
          <w:szCs w:val="24"/>
        </w:rPr>
        <w:t>client</w:t>
      </w:r>
      <w:r w:rsidR="00D14D66" w:rsidRPr="00026E94">
        <w:rPr>
          <w:sz w:val="24"/>
          <w:szCs w:val="24"/>
        </w:rPr>
        <w:t xml:space="preserve">’s business can occur outside of the defined limits of the boundaries of confidence.  </w:t>
      </w:r>
      <w:r w:rsidRPr="00026E94">
        <w:rPr>
          <w:sz w:val="24"/>
          <w:szCs w:val="24"/>
        </w:rPr>
        <w:t>Bexhill Foodbank Advice Service</w:t>
      </w:r>
      <w:r w:rsidR="00D14D66" w:rsidRPr="00026E94">
        <w:rPr>
          <w:sz w:val="24"/>
          <w:szCs w:val="24"/>
        </w:rPr>
        <w:t xml:space="preserve"> will not confirm a user’s presence in the centre or use of the centre without permission.</w:t>
      </w:r>
      <w:r w:rsidR="00DB72D1" w:rsidRPr="00026E94">
        <w:rPr>
          <w:sz w:val="24"/>
          <w:szCs w:val="24"/>
        </w:rPr>
        <w:t xml:space="preserve"> We will not give information or advice to parent, guardians, partners of friends of our </w:t>
      </w:r>
      <w:r w:rsidR="002A625E" w:rsidRPr="00026E94">
        <w:rPr>
          <w:sz w:val="24"/>
          <w:szCs w:val="24"/>
        </w:rPr>
        <w:t>client</w:t>
      </w:r>
      <w:r w:rsidR="00DB72D1" w:rsidRPr="00026E94">
        <w:rPr>
          <w:sz w:val="24"/>
          <w:szCs w:val="24"/>
        </w:rPr>
        <w:t xml:space="preserve"> unless we have express authority to do so.</w:t>
      </w:r>
    </w:p>
    <w:p w14:paraId="138D7558" w14:textId="433CE285" w:rsidR="00D14D66" w:rsidRPr="00026E94" w:rsidRDefault="008E5943" w:rsidP="00D14D66">
      <w:pPr>
        <w:rPr>
          <w:sz w:val="24"/>
          <w:szCs w:val="24"/>
        </w:rPr>
      </w:pPr>
      <w:r w:rsidRPr="00026E94">
        <w:rPr>
          <w:sz w:val="24"/>
          <w:szCs w:val="24"/>
        </w:rPr>
        <w:t>We</w:t>
      </w:r>
      <w:r w:rsidR="00D14D66" w:rsidRPr="00026E94">
        <w:rPr>
          <w:sz w:val="24"/>
          <w:szCs w:val="24"/>
        </w:rPr>
        <w:t xml:space="preserve"> recognise that users will need to feel secure in using the Advice service and so all </w:t>
      </w:r>
      <w:r w:rsidR="00DB72D1" w:rsidRPr="00026E94">
        <w:rPr>
          <w:sz w:val="24"/>
          <w:szCs w:val="24"/>
        </w:rPr>
        <w:t xml:space="preserve">advice </w:t>
      </w:r>
      <w:r w:rsidR="00D14D66" w:rsidRPr="00026E94">
        <w:rPr>
          <w:sz w:val="24"/>
          <w:szCs w:val="24"/>
        </w:rPr>
        <w:t>interviews will take place in a confidential interview space.</w:t>
      </w:r>
    </w:p>
    <w:p w14:paraId="5AEB20D6" w14:textId="77777777" w:rsidR="0053721B" w:rsidRPr="00026E94" w:rsidRDefault="0053721B" w:rsidP="00D14D66">
      <w:pPr>
        <w:rPr>
          <w:sz w:val="24"/>
          <w:szCs w:val="24"/>
        </w:rPr>
      </w:pPr>
    </w:p>
    <w:p w14:paraId="48853518" w14:textId="77777777" w:rsidR="00A46AD0" w:rsidRDefault="00A46AD0" w:rsidP="00D14D66">
      <w:pPr>
        <w:rPr>
          <w:b/>
          <w:bCs/>
          <w:color w:val="00B050"/>
          <w:sz w:val="28"/>
          <w:szCs w:val="28"/>
        </w:rPr>
      </w:pPr>
    </w:p>
    <w:p w14:paraId="0E9C809F" w14:textId="025D1898" w:rsidR="00D14D66" w:rsidRPr="00026E94" w:rsidRDefault="008B09CD" w:rsidP="00D14D66">
      <w:pPr>
        <w:rPr>
          <w:sz w:val="28"/>
          <w:szCs w:val="28"/>
        </w:rPr>
      </w:pPr>
      <w:r w:rsidRPr="00026E94">
        <w:rPr>
          <w:b/>
          <w:bCs/>
          <w:color w:val="00B050"/>
          <w:sz w:val="28"/>
          <w:szCs w:val="28"/>
        </w:rPr>
        <w:lastRenderedPageBreak/>
        <w:t xml:space="preserve">Consent, </w:t>
      </w:r>
      <w:r w:rsidR="008E5943" w:rsidRPr="00026E94">
        <w:rPr>
          <w:b/>
          <w:bCs/>
          <w:color w:val="00B050"/>
          <w:sz w:val="28"/>
          <w:szCs w:val="28"/>
        </w:rPr>
        <w:t>C</w:t>
      </w:r>
      <w:r w:rsidR="00D14D66" w:rsidRPr="00026E94">
        <w:rPr>
          <w:b/>
          <w:bCs/>
          <w:color w:val="00B050"/>
          <w:sz w:val="28"/>
          <w:szCs w:val="28"/>
        </w:rPr>
        <w:t>ase Recording and statistics</w:t>
      </w:r>
    </w:p>
    <w:p w14:paraId="2494DF65" w14:textId="52A968DE" w:rsidR="002A625E" w:rsidRPr="00026E94" w:rsidRDefault="00DB72D1" w:rsidP="00D14D66">
      <w:pPr>
        <w:rPr>
          <w:sz w:val="24"/>
          <w:szCs w:val="24"/>
        </w:rPr>
      </w:pPr>
      <w:r w:rsidRPr="00026E94">
        <w:rPr>
          <w:sz w:val="24"/>
          <w:szCs w:val="24"/>
        </w:rPr>
        <w:t>Client details</w:t>
      </w:r>
      <w:r w:rsidR="002A625E" w:rsidRPr="00026E94">
        <w:rPr>
          <w:sz w:val="24"/>
          <w:szCs w:val="24"/>
        </w:rPr>
        <w:t xml:space="preserve"> and records of the case, including documents and </w:t>
      </w:r>
      <w:r w:rsidR="008C4C94" w:rsidRPr="00026E94">
        <w:rPr>
          <w:sz w:val="24"/>
          <w:szCs w:val="24"/>
        </w:rPr>
        <w:t>correspondence</w:t>
      </w:r>
      <w:r w:rsidR="002A625E" w:rsidRPr="00026E94">
        <w:rPr>
          <w:sz w:val="24"/>
          <w:szCs w:val="24"/>
        </w:rPr>
        <w:t xml:space="preserve"> are stored on the secure web-based case management system </w:t>
      </w:r>
      <w:proofErr w:type="spellStart"/>
      <w:r w:rsidR="002A625E" w:rsidRPr="00026E94">
        <w:rPr>
          <w:sz w:val="24"/>
          <w:szCs w:val="24"/>
        </w:rPr>
        <w:t>AdvicePro</w:t>
      </w:r>
      <w:proofErr w:type="spellEnd"/>
      <w:r w:rsidR="002A625E" w:rsidRPr="00026E94">
        <w:rPr>
          <w:sz w:val="24"/>
          <w:szCs w:val="24"/>
        </w:rPr>
        <w:t xml:space="preserve">. </w:t>
      </w:r>
      <w:proofErr w:type="spellStart"/>
      <w:r w:rsidR="002A625E" w:rsidRPr="00026E94">
        <w:rPr>
          <w:sz w:val="24"/>
          <w:szCs w:val="24"/>
        </w:rPr>
        <w:t>AdvicePro</w:t>
      </w:r>
      <w:proofErr w:type="spellEnd"/>
      <w:r w:rsidR="002A625E" w:rsidRPr="00026E94">
        <w:rPr>
          <w:sz w:val="24"/>
          <w:szCs w:val="24"/>
        </w:rPr>
        <w:t xml:space="preserve"> is a system that has been developed in partnership with </w:t>
      </w:r>
      <w:proofErr w:type="spellStart"/>
      <w:r w:rsidR="002A625E" w:rsidRPr="00026E94">
        <w:rPr>
          <w:sz w:val="24"/>
          <w:szCs w:val="24"/>
        </w:rPr>
        <w:t>AdviceUK</w:t>
      </w:r>
      <w:proofErr w:type="spellEnd"/>
      <w:r w:rsidR="002A625E" w:rsidRPr="00026E94">
        <w:rPr>
          <w:sz w:val="24"/>
          <w:szCs w:val="24"/>
        </w:rPr>
        <w:t xml:space="preserve"> and ACM Solutions Ltd. ACM Solutions may have access to the information stored in order to maintain the system. </w:t>
      </w:r>
    </w:p>
    <w:p w14:paraId="35C11D87" w14:textId="13A7ACE2" w:rsidR="002A625E" w:rsidRPr="00026E94" w:rsidRDefault="002A625E" w:rsidP="00D14D66">
      <w:pPr>
        <w:rPr>
          <w:sz w:val="24"/>
          <w:szCs w:val="24"/>
        </w:rPr>
      </w:pPr>
      <w:r w:rsidRPr="00026E94">
        <w:rPr>
          <w:sz w:val="24"/>
          <w:szCs w:val="24"/>
        </w:rPr>
        <w:t>In accordance with the Dat</w:t>
      </w:r>
      <w:r w:rsidR="008C4C94" w:rsidRPr="00026E94">
        <w:rPr>
          <w:sz w:val="24"/>
          <w:szCs w:val="24"/>
        </w:rPr>
        <w:t>a</w:t>
      </w:r>
      <w:r w:rsidRPr="00026E94">
        <w:rPr>
          <w:sz w:val="24"/>
          <w:szCs w:val="24"/>
        </w:rPr>
        <w:t xml:space="preserve"> Protection Act</w:t>
      </w:r>
      <w:r w:rsidR="00072D36">
        <w:rPr>
          <w:sz w:val="24"/>
          <w:szCs w:val="24"/>
        </w:rPr>
        <w:t>,</w:t>
      </w:r>
      <w:r w:rsidRPr="00026E94">
        <w:rPr>
          <w:sz w:val="24"/>
          <w:szCs w:val="24"/>
        </w:rPr>
        <w:t xml:space="preserve"> client consent</w:t>
      </w:r>
      <w:r w:rsidR="008C4C94" w:rsidRPr="00026E94">
        <w:rPr>
          <w:sz w:val="24"/>
          <w:szCs w:val="24"/>
        </w:rPr>
        <w:t xml:space="preserve"> is sought before recording any information on the system. Clients are asked for their consent to store personal data (that can be used to identify you) and for consent to store special categories of personal data (such as health, racial or ethnic origin, gender</w:t>
      </w:r>
      <w:r w:rsidR="008B09CD" w:rsidRPr="00026E94">
        <w:rPr>
          <w:sz w:val="24"/>
          <w:szCs w:val="24"/>
        </w:rPr>
        <w:t xml:space="preserve"> etc</w:t>
      </w:r>
      <w:r w:rsidR="008C4C94" w:rsidRPr="00026E94">
        <w:rPr>
          <w:sz w:val="24"/>
          <w:szCs w:val="24"/>
        </w:rPr>
        <w:t>).</w:t>
      </w:r>
    </w:p>
    <w:p w14:paraId="49C60F3D" w14:textId="3C3B2ED0" w:rsidR="00D14D66" w:rsidRPr="00026E94" w:rsidRDefault="00D14D66" w:rsidP="00D14D66">
      <w:pPr>
        <w:rPr>
          <w:sz w:val="24"/>
          <w:szCs w:val="24"/>
        </w:rPr>
      </w:pPr>
      <w:r w:rsidRPr="00026E94">
        <w:rPr>
          <w:sz w:val="24"/>
          <w:szCs w:val="24"/>
        </w:rPr>
        <w:t>B</w:t>
      </w:r>
      <w:r w:rsidR="006E2BBF" w:rsidRPr="00026E94">
        <w:rPr>
          <w:sz w:val="24"/>
          <w:szCs w:val="24"/>
        </w:rPr>
        <w:t>exhill Foodbank Advice Service</w:t>
      </w:r>
      <w:r w:rsidRPr="00026E94">
        <w:rPr>
          <w:sz w:val="24"/>
          <w:szCs w:val="24"/>
        </w:rPr>
        <w:t xml:space="preserve"> is committed to effective statistical recording of enquiries and </w:t>
      </w:r>
      <w:r w:rsidR="002A625E" w:rsidRPr="00026E94">
        <w:rPr>
          <w:sz w:val="24"/>
          <w:szCs w:val="24"/>
        </w:rPr>
        <w:t>clients</w:t>
      </w:r>
      <w:r w:rsidRPr="00026E94">
        <w:rPr>
          <w:sz w:val="24"/>
          <w:szCs w:val="24"/>
        </w:rPr>
        <w:t xml:space="preserve"> to enable the monitoring of service take up and to identify policy issues arising from the advice service.</w:t>
      </w:r>
    </w:p>
    <w:p w14:paraId="0B5E89AB" w14:textId="0DB5E9D2" w:rsidR="00D14D66" w:rsidRPr="00026E94" w:rsidRDefault="00D14D66" w:rsidP="00D14D66">
      <w:pPr>
        <w:rPr>
          <w:sz w:val="24"/>
          <w:szCs w:val="24"/>
        </w:rPr>
      </w:pPr>
      <w:r w:rsidRPr="00026E94">
        <w:rPr>
          <w:sz w:val="24"/>
          <w:szCs w:val="24"/>
        </w:rPr>
        <w:t xml:space="preserve">It is the responsibility of The Advice </w:t>
      </w:r>
      <w:r w:rsidR="006E2BBF" w:rsidRPr="00026E94">
        <w:rPr>
          <w:sz w:val="24"/>
          <w:szCs w:val="24"/>
        </w:rPr>
        <w:t>Service Manager</w:t>
      </w:r>
      <w:r w:rsidRPr="00026E94">
        <w:rPr>
          <w:sz w:val="24"/>
          <w:szCs w:val="24"/>
        </w:rPr>
        <w:t xml:space="preserve"> to ensure that all statistical records given to third parties (e.g. funders, </w:t>
      </w:r>
      <w:r w:rsidR="006E2BBF" w:rsidRPr="00026E94">
        <w:rPr>
          <w:sz w:val="24"/>
          <w:szCs w:val="24"/>
        </w:rPr>
        <w:t xml:space="preserve">the Trussell Trust, </w:t>
      </w:r>
      <w:r w:rsidRPr="00026E94">
        <w:rPr>
          <w:sz w:val="24"/>
          <w:szCs w:val="24"/>
        </w:rPr>
        <w:t>membership organisations or local authorities etc.) will be produced in anonymous form.</w:t>
      </w:r>
    </w:p>
    <w:p w14:paraId="44D41D2B" w14:textId="665B1B73" w:rsidR="00D14D66" w:rsidRPr="00026E94" w:rsidRDefault="00D14D66" w:rsidP="00D14D66">
      <w:pPr>
        <w:rPr>
          <w:sz w:val="24"/>
          <w:szCs w:val="24"/>
        </w:rPr>
      </w:pPr>
      <w:r w:rsidRPr="00026E94">
        <w:rPr>
          <w:sz w:val="24"/>
          <w:szCs w:val="24"/>
        </w:rPr>
        <w:t xml:space="preserve">All </w:t>
      </w:r>
      <w:r w:rsidR="008C4C94" w:rsidRPr="00026E94">
        <w:rPr>
          <w:sz w:val="24"/>
          <w:szCs w:val="24"/>
        </w:rPr>
        <w:t>physical case files and documents are stored in a secured filing cabinet, which is locked when the service is closed.</w:t>
      </w:r>
    </w:p>
    <w:p w14:paraId="36B1F901" w14:textId="04A58AB3" w:rsidR="008C4C94" w:rsidRDefault="008C4C94" w:rsidP="00D14D66">
      <w:pPr>
        <w:rPr>
          <w:sz w:val="24"/>
          <w:szCs w:val="24"/>
        </w:rPr>
      </w:pPr>
      <w:r w:rsidRPr="00026E94">
        <w:rPr>
          <w:sz w:val="24"/>
          <w:szCs w:val="24"/>
        </w:rPr>
        <w:t xml:space="preserve">All details of expressed consent to store information or to share information with external organisations is recorded in </w:t>
      </w:r>
      <w:proofErr w:type="spellStart"/>
      <w:r w:rsidRPr="00026E94">
        <w:rPr>
          <w:sz w:val="24"/>
          <w:szCs w:val="24"/>
        </w:rPr>
        <w:t>AdvicePro</w:t>
      </w:r>
      <w:proofErr w:type="spellEnd"/>
      <w:r w:rsidRPr="00026E94">
        <w:rPr>
          <w:sz w:val="24"/>
          <w:szCs w:val="24"/>
        </w:rPr>
        <w:t>.</w:t>
      </w:r>
    </w:p>
    <w:p w14:paraId="4EF7E7EA" w14:textId="77777777" w:rsidR="00026E94" w:rsidRPr="00026E94" w:rsidRDefault="00026E94" w:rsidP="00D14D66">
      <w:pPr>
        <w:rPr>
          <w:sz w:val="24"/>
          <w:szCs w:val="24"/>
        </w:rPr>
      </w:pPr>
    </w:p>
    <w:p w14:paraId="42AFA956" w14:textId="2A265DE6" w:rsidR="00D14D66" w:rsidRDefault="00026E94" w:rsidP="00D14D66">
      <w:pPr>
        <w:rPr>
          <w:b/>
          <w:bCs/>
          <w:color w:val="00B050"/>
          <w:sz w:val="28"/>
          <w:szCs w:val="28"/>
        </w:rPr>
      </w:pPr>
      <w:r w:rsidRPr="00026E94">
        <w:rPr>
          <w:b/>
          <w:bCs/>
          <w:color w:val="00B050"/>
          <w:sz w:val="28"/>
          <w:szCs w:val="28"/>
        </w:rPr>
        <w:t>Conflict of Interest</w:t>
      </w:r>
    </w:p>
    <w:p w14:paraId="29EAC45A" w14:textId="3100FC59" w:rsidR="00026E94" w:rsidRDefault="00026E94" w:rsidP="00D14D66">
      <w:pPr>
        <w:rPr>
          <w:sz w:val="24"/>
          <w:szCs w:val="24"/>
        </w:rPr>
      </w:pPr>
      <w:r>
        <w:rPr>
          <w:sz w:val="24"/>
          <w:szCs w:val="24"/>
        </w:rPr>
        <w:t>Conflicts of interest must be managed appropriately and effectively in order to limit any potential impact on the service offered.</w:t>
      </w:r>
    </w:p>
    <w:p w14:paraId="5E6B89AF" w14:textId="4B004833" w:rsidR="00026E94" w:rsidRDefault="00026E94" w:rsidP="00D14D66">
      <w:pPr>
        <w:rPr>
          <w:sz w:val="24"/>
          <w:szCs w:val="24"/>
        </w:rPr>
      </w:pPr>
      <w:r>
        <w:rPr>
          <w:sz w:val="24"/>
          <w:szCs w:val="24"/>
        </w:rPr>
        <w:t>The following would usually be identified as a potential conflict of interest:</w:t>
      </w:r>
    </w:p>
    <w:p w14:paraId="68AD8729" w14:textId="71EEE448" w:rsidR="00026E94" w:rsidRDefault="00026E94" w:rsidP="00026E94">
      <w:pPr>
        <w:pStyle w:val="ListParagraph"/>
        <w:numPr>
          <w:ilvl w:val="0"/>
          <w:numId w:val="6"/>
        </w:numPr>
        <w:rPr>
          <w:sz w:val="24"/>
          <w:szCs w:val="24"/>
        </w:rPr>
      </w:pPr>
      <w:r>
        <w:rPr>
          <w:sz w:val="24"/>
          <w:szCs w:val="24"/>
        </w:rPr>
        <w:t>When an advisor feels they are unable to give impartial advice;</w:t>
      </w:r>
    </w:p>
    <w:p w14:paraId="3B15C577" w14:textId="0C9F01BE" w:rsidR="00026E94" w:rsidRDefault="00026E94" w:rsidP="00026E94">
      <w:pPr>
        <w:pStyle w:val="ListParagraph"/>
        <w:numPr>
          <w:ilvl w:val="0"/>
          <w:numId w:val="6"/>
        </w:numPr>
        <w:rPr>
          <w:sz w:val="24"/>
          <w:szCs w:val="24"/>
        </w:rPr>
      </w:pPr>
      <w:r>
        <w:rPr>
          <w:sz w:val="24"/>
          <w:szCs w:val="24"/>
        </w:rPr>
        <w:t>When a</w:t>
      </w:r>
      <w:r w:rsidR="00DE5E41">
        <w:rPr>
          <w:sz w:val="24"/>
          <w:szCs w:val="24"/>
        </w:rPr>
        <w:t>n</w:t>
      </w:r>
      <w:r>
        <w:rPr>
          <w:sz w:val="24"/>
          <w:szCs w:val="24"/>
        </w:rPr>
        <w:t xml:space="preserve"> advisor feels they may be perceived to be unable to give impartial advice (for example in situations where the advisor is already dealing with another family member/ partner/ close friend)</w:t>
      </w:r>
    </w:p>
    <w:p w14:paraId="2BE39075" w14:textId="4B8F20CC" w:rsidR="00B57F49" w:rsidRPr="00026E94" w:rsidRDefault="00B57F49" w:rsidP="00B57F49">
      <w:pPr>
        <w:pStyle w:val="ListParagraph"/>
        <w:numPr>
          <w:ilvl w:val="0"/>
          <w:numId w:val="6"/>
        </w:numPr>
        <w:rPr>
          <w:sz w:val="24"/>
          <w:szCs w:val="24"/>
        </w:rPr>
      </w:pPr>
      <w:r>
        <w:rPr>
          <w:sz w:val="24"/>
          <w:szCs w:val="24"/>
        </w:rPr>
        <w:t>Where a client wishes to make a fraudulent claim, or wishes to withhold a change in circumstances from the DWP/ HMRC/ Local Authority.</w:t>
      </w:r>
      <w:r w:rsidRPr="00026E94">
        <w:rPr>
          <w:sz w:val="24"/>
          <w:szCs w:val="24"/>
        </w:rPr>
        <w:t xml:space="preserve"> </w:t>
      </w:r>
      <w:r>
        <w:rPr>
          <w:sz w:val="24"/>
          <w:szCs w:val="24"/>
        </w:rPr>
        <w:t>A</w:t>
      </w:r>
      <w:r w:rsidRPr="00026E94">
        <w:rPr>
          <w:sz w:val="24"/>
          <w:szCs w:val="24"/>
        </w:rPr>
        <w:t xml:space="preserve">dvisors </w:t>
      </w:r>
      <w:r>
        <w:rPr>
          <w:sz w:val="24"/>
          <w:szCs w:val="24"/>
        </w:rPr>
        <w:t xml:space="preserve">must </w:t>
      </w:r>
      <w:r w:rsidRPr="00026E94">
        <w:rPr>
          <w:sz w:val="24"/>
          <w:szCs w:val="24"/>
        </w:rPr>
        <w:t xml:space="preserve">not knowingly assist in a fraudulent claim in any way and any suspected fraudulent </w:t>
      </w:r>
      <w:r>
        <w:rPr>
          <w:sz w:val="24"/>
          <w:szCs w:val="24"/>
        </w:rPr>
        <w:t>activity will result in our services being withdrawn.</w:t>
      </w:r>
    </w:p>
    <w:p w14:paraId="519DBC7C" w14:textId="753A26C6" w:rsidR="00026E94" w:rsidRDefault="00026E94" w:rsidP="00026E94">
      <w:pPr>
        <w:pStyle w:val="ListParagraph"/>
        <w:numPr>
          <w:ilvl w:val="0"/>
          <w:numId w:val="6"/>
        </w:numPr>
        <w:rPr>
          <w:sz w:val="24"/>
          <w:szCs w:val="24"/>
        </w:rPr>
      </w:pPr>
      <w:r>
        <w:rPr>
          <w:sz w:val="24"/>
          <w:szCs w:val="24"/>
        </w:rPr>
        <w:t>If the desired course of action could be damaging to Churches Together in Bexhill or one of their projects</w:t>
      </w:r>
      <w:r w:rsidR="00DE5E41">
        <w:rPr>
          <w:sz w:val="24"/>
          <w:szCs w:val="24"/>
        </w:rPr>
        <w:t xml:space="preserve">, </w:t>
      </w:r>
      <w:r>
        <w:rPr>
          <w:sz w:val="24"/>
          <w:szCs w:val="24"/>
        </w:rPr>
        <w:t>such as the foodbank or foodbank advice service, or their staff</w:t>
      </w:r>
      <w:r w:rsidR="00DE5E41">
        <w:rPr>
          <w:sz w:val="24"/>
          <w:szCs w:val="24"/>
        </w:rPr>
        <w:t xml:space="preserve"> or trustees</w:t>
      </w:r>
      <w:r>
        <w:rPr>
          <w:sz w:val="24"/>
          <w:szCs w:val="24"/>
        </w:rPr>
        <w:t>.</w:t>
      </w:r>
    </w:p>
    <w:p w14:paraId="0765FDA9" w14:textId="1996528B" w:rsidR="00026E94" w:rsidRDefault="00026E94" w:rsidP="00026E94">
      <w:pPr>
        <w:rPr>
          <w:sz w:val="24"/>
          <w:szCs w:val="24"/>
        </w:rPr>
      </w:pPr>
      <w:r>
        <w:rPr>
          <w:sz w:val="24"/>
          <w:szCs w:val="24"/>
        </w:rPr>
        <w:t>If a potential conflict of interest is identified, the individual will be notified in due course that this has happened and they will be advised they cannot access our advice service at this time. Notifying an individual of a conflict of interest may inadvertently draw attention to another client</w:t>
      </w:r>
      <w:r w:rsidR="00072D36">
        <w:rPr>
          <w:sz w:val="24"/>
          <w:szCs w:val="24"/>
        </w:rPr>
        <w:t>’</w:t>
      </w:r>
      <w:r w:rsidR="00B57F49">
        <w:rPr>
          <w:sz w:val="24"/>
          <w:szCs w:val="24"/>
        </w:rPr>
        <w:t>s</w:t>
      </w:r>
      <w:r>
        <w:rPr>
          <w:sz w:val="24"/>
          <w:szCs w:val="24"/>
        </w:rPr>
        <w:t xml:space="preserve"> use of the service. Advice service team will endeavour to limit this wherever possible by only stating that a conflict has been identified and not disclosing any further information.</w:t>
      </w:r>
    </w:p>
    <w:p w14:paraId="1CB449EF" w14:textId="77777777" w:rsidR="006D3CC3" w:rsidRPr="00026E94" w:rsidRDefault="006D3CC3" w:rsidP="00026E94">
      <w:pPr>
        <w:rPr>
          <w:sz w:val="24"/>
          <w:szCs w:val="24"/>
        </w:rPr>
      </w:pPr>
    </w:p>
    <w:p w14:paraId="656810FC" w14:textId="7126FE66" w:rsidR="00D14D66" w:rsidRPr="00026E94" w:rsidRDefault="00D14D66" w:rsidP="00D14D66">
      <w:pPr>
        <w:rPr>
          <w:b/>
          <w:bCs/>
          <w:color w:val="00B050"/>
          <w:sz w:val="28"/>
          <w:szCs w:val="28"/>
        </w:rPr>
      </w:pPr>
      <w:r w:rsidRPr="00026E94">
        <w:rPr>
          <w:b/>
          <w:bCs/>
          <w:color w:val="00B050"/>
          <w:sz w:val="28"/>
          <w:szCs w:val="28"/>
        </w:rPr>
        <w:t>Breaches of Confidentiality</w:t>
      </w:r>
    </w:p>
    <w:p w14:paraId="64607926" w14:textId="47551F29" w:rsidR="00D14D66" w:rsidRPr="00026E94" w:rsidRDefault="00D14D66" w:rsidP="00D14D66">
      <w:pPr>
        <w:rPr>
          <w:sz w:val="24"/>
          <w:szCs w:val="24"/>
        </w:rPr>
      </w:pPr>
      <w:r w:rsidRPr="00026E94">
        <w:rPr>
          <w:sz w:val="24"/>
          <w:szCs w:val="24"/>
        </w:rPr>
        <w:t xml:space="preserve">Circumstances where confidentiality may have to be breached are treated with utmost seriousness. </w:t>
      </w:r>
      <w:r w:rsidR="00052D0E" w:rsidRPr="00026E94">
        <w:rPr>
          <w:sz w:val="24"/>
          <w:szCs w:val="24"/>
        </w:rPr>
        <w:t>Sometimes it is necessary to break confidentiality in exceptional circumstances, these include –</w:t>
      </w:r>
    </w:p>
    <w:p w14:paraId="4F17ED95" w14:textId="48E58079" w:rsidR="00052D0E" w:rsidRPr="00026E94" w:rsidRDefault="00052D0E" w:rsidP="00052D0E">
      <w:pPr>
        <w:pStyle w:val="ListParagraph"/>
        <w:numPr>
          <w:ilvl w:val="0"/>
          <w:numId w:val="4"/>
        </w:numPr>
        <w:rPr>
          <w:sz w:val="24"/>
          <w:szCs w:val="24"/>
        </w:rPr>
      </w:pPr>
      <w:r w:rsidRPr="00026E94">
        <w:rPr>
          <w:sz w:val="24"/>
          <w:szCs w:val="24"/>
        </w:rPr>
        <w:lastRenderedPageBreak/>
        <w:t>Where there is good reason to believe a person may cause serious harm to themselves, another person or group of people; and that person is unwilling to unable to take appropriate action themselves;</w:t>
      </w:r>
    </w:p>
    <w:p w14:paraId="3C0C5F83" w14:textId="0EC76251" w:rsidR="00052D0E" w:rsidRPr="00026E94" w:rsidRDefault="00052D0E" w:rsidP="00052D0E">
      <w:pPr>
        <w:pStyle w:val="ListParagraph"/>
        <w:numPr>
          <w:ilvl w:val="0"/>
          <w:numId w:val="4"/>
        </w:numPr>
        <w:rPr>
          <w:sz w:val="24"/>
          <w:szCs w:val="24"/>
        </w:rPr>
      </w:pPr>
      <w:r w:rsidRPr="00026E94">
        <w:rPr>
          <w:sz w:val="24"/>
          <w:szCs w:val="24"/>
        </w:rPr>
        <w:t>Where there is a safeguarding issue;</w:t>
      </w:r>
    </w:p>
    <w:p w14:paraId="4D5AF931" w14:textId="1FFD02B8" w:rsidR="00052D0E" w:rsidRPr="006D3CC3" w:rsidRDefault="00052D0E" w:rsidP="00D14D66">
      <w:pPr>
        <w:pStyle w:val="ListParagraph"/>
        <w:numPr>
          <w:ilvl w:val="0"/>
          <w:numId w:val="4"/>
        </w:numPr>
        <w:rPr>
          <w:sz w:val="24"/>
          <w:szCs w:val="24"/>
        </w:rPr>
      </w:pPr>
      <w:r w:rsidRPr="00026E94">
        <w:rPr>
          <w:sz w:val="24"/>
          <w:szCs w:val="24"/>
        </w:rPr>
        <w:t>If a potential conflict of interest arises.</w:t>
      </w:r>
    </w:p>
    <w:p w14:paraId="03587771" w14:textId="69B484E3" w:rsidR="00D14D66" w:rsidRPr="00026E94" w:rsidRDefault="006E2BBF" w:rsidP="00D14D66">
      <w:pPr>
        <w:rPr>
          <w:sz w:val="24"/>
          <w:szCs w:val="24"/>
        </w:rPr>
      </w:pPr>
      <w:r w:rsidRPr="00026E94">
        <w:rPr>
          <w:sz w:val="24"/>
          <w:szCs w:val="24"/>
        </w:rPr>
        <w:t>W</w:t>
      </w:r>
      <w:r w:rsidR="00D14D66" w:rsidRPr="00026E94">
        <w:rPr>
          <w:sz w:val="24"/>
          <w:szCs w:val="24"/>
        </w:rPr>
        <w:t>here a member of the Advice team feels that confidentiality should be breached, the following procedure will be applied –</w:t>
      </w:r>
    </w:p>
    <w:p w14:paraId="15948675" w14:textId="62A3B8AD" w:rsidR="00D14D66" w:rsidRPr="00026E94" w:rsidRDefault="00D14D66" w:rsidP="006E2BBF">
      <w:pPr>
        <w:pStyle w:val="ListParagraph"/>
        <w:numPr>
          <w:ilvl w:val="0"/>
          <w:numId w:val="2"/>
        </w:numPr>
        <w:rPr>
          <w:sz w:val="24"/>
          <w:szCs w:val="24"/>
        </w:rPr>
      </w:pPr>
      <w:r w:rsidRPr="00026E94">
        <w:rPr>
          <w:sz w:val="24"/>
          <w:szCs w:val="24"/>
        </w:rPr>
        <w:t xml:space="preserve">The </w:t>
      </w:r>
      <w:r w:rsidR="006E2BBF" w:rsidRPr="00026E94">
        <w:rPr>
          <w:sz w:val="24"/>
          <w:szCs w:val="24"/>
        </w:rPr>
        <w:t xml:space="preserve">staff member/ volunteer </w:t>
      </w:r>
      <w:r w:rsidRPr="00026E94">
        <w:rPr>
          <w:sz w:val="24"/>
          <w:szCs w:val="24"/>
        </w:rPr>
        <w:t xml:space="preserve">will raise the matter with the Advice </w:t>
      </w:r>
      <w:r w:rsidR="006E2BBF" w:rsidRPr="00026E94">
        <w:rPr>
          <w:sz w:val="24"/>
          <w:szCs w:val="24"/>
        </w:rPr>
        <w:t>Service Manager</w:t>
      </w:r>
      <w:r w:rsidRPr="00026E94">
        <w:rPr>
          <w:sz w:val="24"/>
          <w:szCs w:val="24"/>
        </w:rPr>
        <w:t xml:space="preserve"> immediately</w:t>
      </w:r>
      <w:r w:rsidR="006E2BBF" w:rsidRPr="00026E94">
        <w:rPr>
          <w:sz w:val="24"/>
          <w:szCs w:val="24"/>
        </w:rPr>
        <w:t>.</w:t>
      </w:r>
    </w:p>
    <w:p w14:paraId="7DF6F5F7" w14:textId="56847726" w:rsidR="00D14D66" w:rsidRPr="00026E94" w:rsidRDefault="00D14D66" w:rsidP="006E2BBF">
      <w:pPr>
        <w:pStyle w:val="ListParagraph"/>
        <w:numPr>
          <w:ilvl w:val="0"/>
          <w:numId w:val="2"/>
        </w:numPr>
        <w:rPr>
          <w:sz w:val="24"/>
          <w:szCs w:val="24"/>
        </w:rPr>
      </w:pPr>
      <w:r w:rsidRPr="00026E94">
        <w:rPr>
          <w:sz w:val="24"/>
          <w:szCs w:val="24"/>
        </w:rPr>
        <w:t>The</w:t>
      </w:r>
      <w:r w:rsidR="006E2BBF" w:rsidRPr="00026E94">
        <w:rPr>
          <w:sz w:val="24"/>
          <w:szCs w:val="24"/>
        </w:rPr>
        <w:t xml:space="preserve">y </w:t>
      </w:r>
      <w:r w:rsidRPr="00026E94">
        <w:rPr>
          <w:sz w:val="24"/>
          <w:szCs w:val="24"/>
        </w:rPr>
        <w:t xml:space="preserve">must discuss with the </w:t>
      </w:r>
      <w:r w:rsidR="006E2BBF" w:rsidRPr="00026E94">
        <w:rPr>
          <w:sz w:val="24"/>
          <w:szCs w:val="24"/>
        </w:rPr>
        <w:t xml:space="preserve">Advice Service Manager </w:t>
      </w:r>
      <w:r w:rsidRPr="00026E94">
        <w:rPr>
          <w:sz w:val="24"/>
          <w:szCs w:val="24"/>
        </w:rPr>
        <w:t xml:space="preserve">the issues involved in the case and explain why they feel confidentiality should be breached and what would be achieved by breaching confidentiality. The </w:t>
      </w:r>
      <w:r w:rsidR="006E2BBF" w:rsidRPr="00026E94">
        <w:rPr>
          <w:sz w:val="24"/>
          <w:szCs w:val="24"/>
        </w:rPr>
        <w:t xml:space="preserve">Advice Service Manager </w:t>
      </w:r>
      <w:r w:rsidRPr="00026E94">
        <w:rPr>
          <w:sz w:val="24"/>
          <w:szCs w:val="24"/>
        </w:rPr>
        <w:t xml:space="preserve">will take a written note of this discussion.  The note will be agreed, dated and signed by both </w:t>
      </w:r>
      <w:r w:rsidR="006E2BBF" w:rsidRPr="00026E94">
        <w:rPr>
          <w:sz w:val="24"/>
          <w:szCs w:val="24"/>
        </w:rPr>
        <w:t xml:space="preserve">the Advice Service Manager </w:t>
      </w:r>
      <w:r w:rsidRPr="00026E94">
        <w:rPr>
          <w:sz w:val="24"/>
          <w:szCs w:val="24"/>
        </w:rPr>
        <w:t xml:space="preserve">and </w:t>
      </w:r>
      <w:r w:rsidR="006E2BBF" w:rsidRPr="00026E94">
        <w:rPr>
          <w:sz w:val="24"/>
          <w:szCs w:val="24"/>
        </w:rPr>
        <w:t>staff member/ volunteer.</w:t>
      </w:r>
    </w:p>
    <w:p w14:paraId="62E6E7D0" w14:textId="02230F30" w:rsidR="00D45B0C" w:rsidRPr="00026E94" w:rsidRDefault="00D14D66" w:rsidP="00D14D66">
      <w:pPr>
        <w:pStyle w:val="ListParagraph"/>
        <w:numPr>
          <w:ilvl w:val="0"/>
          <w:numId w:val="2"/>
        </w:numPr>
        <w:rPr>
          <w:sz w:val="24"/>
          <w:szCs w:val="24"/>
        </w:rPr>
      </w:pPr>
      <w:r w:rsidRPr="00026E94">
        <w:rPr>
          <w:sz w:val="24"/>
          <w:szCs w:val="24"/>
        </w:rPr>
        <w:t xml:space="preserve">The </w:t>
      </w:r>
      <w:r w:rsidR="006E2BBF" w:rsidRPr="00026E94">
        <w:rPr>
          <w:sz w:val="24"/>
          <w:szCs w:val="24"/>
        </w:rPr>
        <w:t xml:space="preserve">Advice Service Manager </w:t>
      </w:r>
      <w:r w:rsidRPr="00026E94">
        <w:rPr>
          <w:sz w:val="24"/>
          <w:szCs w:val="24"/>
        </w:rPr>
        <w:t xml:space="preserve">will discuss with the </w:t>
      </w:r>
      <w:r w:rsidR="006E2BBF" w:rsidRPr="00026E94">
        <w:rPr>
          <w:sz w:val="24"/>
          <w:szCs w:val="24"/>
        </w:rPr>
        <w:t>staff member/ volunteer</w:t>
      </w:r>
      <w:r w:rsidRPr="00026E94">
        <w:rPr>
          <w:sz w:val="24"/>
          <w:szCs w:val="24"/>
        </w:rPr>
        <w:t xml:space="preserve"> the options that can be applied in each circumstance</w:t>
      </w:r>
      <w:r w:rsidR="00DB6750">
        <w:rPr>
          <w:sz w:val="24"/>
          <w:szCs w:val="24"/>
        </w:rPr>
        <w:t>.</w:t>
      </w:r>
    </w:p>
    <w:p w14:paraId="6CB7C09A" w14:textId="393EA91B" w:rsidR="00D14D66" w:rsidRPr="00026E94" w:rsidRDefault="00D14D66" w:rsidP="00D14D66">
      <w:pPr>
        <w:pStyle w:val="ListParagraph"/>
        <w:numPr>
          <w:ilvl w:val="0"/>
          <w:numId w:val="2"/>
        </w:numPr>
        <w:rPr>
          <w:sz w:val="24"/>
          <w:szCs w:val="24"/>
        </w:rPr>
      </w:pPr>
      <w:r w:rsidRPr="00026E94">
        <w:rPr>
          <w:sz w:val="24"/>
          <w:szCs w:val="24"/>
        </w:rPr>
        <w:t xml:space="preserve">The </w:t>
      </w:r>
      <w:r w:rsidR="006E2BBF" w:rsidRPr="00026E94">
        <w:rPr>
          <w:sz w:val="24"/>
          <w:szCs w:val="24"/>
        </w:rPr>
        <w:t xml:space="preserve">Advice Service Manager </w:t>
      </w:r>
      <w:r w:rsidRPr="00026E94">
        <w:rPr>
          <w:sz w:val="24"/>
          <w:szCs w:val="24"/>
        </w:rPr>
        <w:t xml:space="preserve">will decide if confidentiality is to be breached.  If it is decided that confidentiality will not be breached the </w:t>
      </w:r>
      <w:r w:rsidR="008E5943" w:rsidRPr="00026E94">
        <w:rPr>
          <w:sz w:val="24"/>
          <w:szCs w:val="24"/>
        </w:rPr>
        <w:t xml:space="preserve">Advice Service Manager </w:t>
      </w:r>
      <w:r w:rsidRPr="00026E94">
        <w:rPr>
          <w:sz w:val="24"/>
          <w:szCs w:val="24"/>
        </w:rPr>
        <w:t xml:space="preserve">will produce a written note outlining the circumstances and reasons for the decision.  A copy will be placed in the </w:t>
      </w:r>
      <w:r w:rsidR="00DB6750" w:rsidRPr="00026E94">
        <w:rPr>
          <w:sz w:val="24"/>
          <w:szCs w:val="24"/>
        </w:rPr>
        <w:t>client’s</w:t>
      </w:r>
      <w:r w:rsidR="002A625E" w:rsidRPr="00026E94">
        <w:rPr>
          <w:sz w:val="24"/>
          <w:szCs w:val="24"/>
        </w:rPr>
        <w:t xml:space="preserve"> </w:t>
      </w:r>
      <w:r w:rsidRPr="00026E94">
        <w:rPr>
          <w:sz w:val="24"/>
          <w:szCs w:val="24"/>
        </w:rPr>
        <w:t>case file.</w:t>
      </w:r>
    </w:p>
    <w:p w14:paraId="1500C097" w14:textId="2588C023" w:rsidR="00D14D66" w:rsidRPr="00026E94" w:rsidRDefault="00D14D66" w:rsidP="00D14D66">
      <w:pPr>
        <w:rPr>
          <w:sz w:val="24"/>
          <w:szCs w:val="24"/>
        </w:rPr>
      </w:pPr>
      <w:r w:rsidRPr="00026E94">
        <w:rPr>
          <w:sz w:val="24"/>
          <w:szCs w:val="24"/>
        </w:rPr>
        <w:t xml:space="preserve">If the </w:t>
      </w:r>
      <w:r w:rsidR="008E5943" w:rsidRPr="00026E94">
        <w:rPr>
          <w:sz w:val="24"/>
          <w:szCs w:val="24"/>
        </w:rPr>
        <w:t xml:space="preserve">Advice Service Manager </w:t>
      </w:r>
      <w:r w:rsidRPr="00026E94">
        <w:rPr>
          <w:sz w:val="24"/>
          <w:szCs w:val="24"/>
        </w:rPr>
        <w:t>decides that confidentiality should be breached then the following procedure will be applied –</w:t>
      </w:r>
    </w:p>
    <w:p w14:paraId="58E9178D" w14:textId="7D82736A" w:rsidR="00D14D66" w:rsidRPr="00026E94" w:rsidRDefault="00D14D66" w:rsidP="008E5943">
      <w:pPr>
        <w:pStyle w:val="ListParagraph"/>
        <w:numPr>
          <w:ilvl w:val="0"/>
          <w:numId w:val="3"/>
        </w:numPr>
        <w:rPr>
          <w:sz w:val="24"/>
          <w:szCs w:val="24"/>
        </w:rPr>
      </w:pPr>
      <w:r w:rsidRPr="00026E94">
        <w:rPr>
          <w:sz w:val="24"/>
          <w:szCs w:val="24"/>
        </w:rPr>
        <w:t xml:space="preserve">The </w:t>
      </w:r>
      <w:r w:rsidR="008E5943" w:rsidRPr="00026E94">
        <w:rPr>
          <w:sz w:val="24"/>
          <w:szCs w:val="24"/>
        </w:rPr>
        <w:t xml:space="preserve">Advice Service Manager </w:t>
      </w:r>
      <w:r w:rsidRPr="00026E94">
        <w:rPr>
          <w:sz w:val="24"/>
          <w:szCs w:val="24"/>
        </w:rPr>
        <w:t xml:space="preserve">will contact the </w:t>
      </w:r>
      <w:r w:rsidR="008E5943" w:rsidRPr="00026E94">
        <w:rPr>
          <w:sz w:val="24"/>
          <w:szCs w:val="24"/>
        </w:rPr>
        <w:t>Foodbank Project Manager</w:t>
      </w:r>
      <w:r w:rsidRPr="00026E94">
        <w:rPr>
          <w:sz w:val="24"/>
          <w:szCs w:val="24"/>
        </w:rPr>
        <w:t xml:space="preserve"> at the soonest possible instance.  The </w:t>
      </w:r>
      <w:r w:rsidR="008E5943" w:rsidRPr="00026E94">
        <w:rPr>
          <w:sz w:val="24"/>
          <w:szCs w:val="24"/>
        </w:rPr>
        <w:t xml:space="preserve">Foodbank Project Manager </w:t>
      </w:r>
      <w:r w:rsidRPr="00026E94">
        <w:rPr>
          <w:sz w:val="24"/>
          <w:szCs w:val="24"/>
        </w:rPr>
        <w:t>will be briefed on the facts of the case</w:t>
      </w:r>
      <w:r w:rsidR="00DB6750">
        <w:rPr>
          <w:sz w:val="24"/>
          <w:szCs w:val="24"/>
        </w:rPr>
        <w:t xml:space="preserve">. </w:t>
      </w:r>
      <w:r w:rsidRPr="00026E94">
        <w:rPr>
          <w:sz w:val="24"/>
          <w:szCs w:val="24"/>
        </w:rPr>
        <w:t xml:space="preserve">The </w:t>
      </w:r>
      <w:r w:rsidR="008E5943" w:rsidRPr="00026E94">
        <w:rPr>
          <w:sz w:val="24"/>
          <w:szCs w:val="24"/>
        </w:rPr>
        <w:t xml:space="preserve">Advice Service Manager </w:t>
      </w:r>
      <w:r w:rsidRPr="00026E94">
        <w:rPr>
          <w:sz w:val="24"/>
          <w:szCs w:val="24"/>
        </w:rPr>
        <w:t xml:space="preserve">should seek authorisation from the </w:t>
      </w:r>
      <w:r w:rsidR="008E5943" w:rsidRPr="00026E94">
        <w:rPr>
          <w:sz w:val="24"/>
          <w:szCs w:val="24"/>
        </w:rPr>
        <w:t>Foodbank Project Manager</w:t>
      </w:r>
      <w:r w:rsidRPr="00026E94">
        <w:rPr>
          <w:sz w:val="24"/>
          <w:szCs w:val="24"/>
        </w:rPr>
        <w:t xml:space="preserve"> to breach confidentiality.</w:t>
      </w:r>
    </w:p>
    <w:p w14:paraId="01396CFE" w14:textId="20F16477" w:rsidR="00D14D66" w:rsidRPr="00026E94" w:rsidRDefault="00D14D66" w:rsidP="008E5943">
      <w:pPr>
        <w:pStyle w:val="ListParagraph"/>
        <w:numPr>
          <w:ilvl w:val="0"/>
          <w:numId w:val="3"/>
        </w:numPr>
        <w:rPr>
          <w:sz w:val="24"/>
          <w:szCs w:val="24"/>
        </w:rPr>
      </w:pPr>
      <w:r w:rsidRPr="00026E94">
        <w:rPr>
          <w:sz w:val="24"/>
          <w:szCs w:val="24"/>
        </w:rPr>
        <w:t xml:space="preserve">If the </w:t>
      </w:r>
      <w:r w:rsidR="00D45B0C" w:rsidRPr="00026E94">
        <w:rPr>
          <w:sz w:val="24"/>
          <w:szCs w:val="24"/>
        </w:rPr>
        <w:t xml:space="preserve">Foodbank Project Manager </w:t>
      </w:r>
      <w:r w:rsidRPr="00026E94">
        <w:rPr>
          <w:sz w:val="24"/>
          <w:szCs w:val="24"/>
        </w:rPr>
        <w:t xml:space="preserve">decides that confidentiality should not be breached then the </w:t>
      </w:r>
      <w:r w:rsidR="00D45B0C" w:rsidRPr="00026E94">
        <w:rPr>
          <w:sz w:val="24"/>
          <w:szCs w:val="24"/>
        </w:rPr>
        <w:t xml:space="preserve">Foodbank Project Manager </w:t>
      </w:r>
      <w:r w:rsidRPr="00026E94">
        <w:rPr>
          <w:sz w:val="24"/>
          <w:szCs w:val="24"/>
        </w:rPr>
        <w:t xml:space="preserve">will produce a note outlining the reasons for this decision. A copy will be placed in the </w:t>
      </w:r>
      <w:r w:rsidR="00D45B0C" w:rsidRPr="00026E94">
        <w:rPr>
          <w:sz w:val="24"/>
          <w:szCs w:val="24"/>
        </w:rPr>
        <w:t>client’s</w:t>
      </w:r>
      <w:r w:rsidRPr="00026E94">
        <w:rPr>
          <w:sz w:val="24"/>
          <w:szCs w:val="24"/>
        </w:rPr>
        <w:t xml:space="preserve"> case file.  No further action will be taken.</w:t>
      </w:r>
    </w:p>
    <w:p w14:paraId="13170DEA" w14:textId="67A7EFD0" w:rsidR="00D14D66" w:rsidRPr="00026E94" w:rsidRDefault="00D14D66" w:rsidP="008E5943">
      <w:pPr>
        <w:pStyle w:val="ListParagraph"/>
        <w:numPr>
          <w:ilvl w:val="0"/>
          <w:numId w:val="3"/>
        </w:numPr>
        <w:rPr>
          <w:sz w:val="24"/>
          <w:szCs w:val="24"/>
        </w:rPr>
      </w:pPr>
      <w:r w:rsidRPr="00026E94">
        <w:rPr>
          <w:sz w:val="24"/>
          <w:szCs w:val="24"/>
        </w:rPr>
        <w:t xml:space="preserve">If the </w:t>
      </w:r>
      <w:r w:rsidR="00D45B0C" w:rsidRPr="00026E94">
        <w:rPr>
          <w:sz w:val="24"/>
          <w:szCs w:val="24"/>
        </w:rPr>
        <w:t xml:space="preserve">Foodbank Project Manager </w:t>
      </w:r>
      <w:r w:rsidRPr="00026E94">
        <w:rPr>
          <w:sz w:val="24"/>
          <w:szCs w:val="24"/>
        </w:rPr>
        <w:t>authorises a breach of confidentiality this authority should be given in writing</w:t>
      </w:r>
      <w:r w:rsidR="00D45B0C" w:rsidRPr="00026E94">
        <w:rPr>
          <w:sz w:val="24"/>
          <w:szCs w:val="24"/>
        </w:rPr>
        <w:t>.</w:t>
      </w:r>
    </w:p>
    <w:p w14:paraId="49C8DE6B" w14:textId="1E53E5E8" w:rsidR="006D3CC3" w:rsidRPr="006D3CC3" w:rsidRDefault="00D14D66" w:rsidP="00D14D66">
      <w:pPr>
        <w:pStyle w:val="ListParagraph"/>
        <w:numPr>
          <w:ilvl w:val="0"/>
          <w:numId w:val="3"/>
        </w:numPr>
        <w:rPr>
          <w:sz w:val="24"/>
          <w:szCs w:val="24"/>
        </w:rPr>
      </w:pPr>
      <w:r w:rsidRPr="00026E94">
        <w:rPr>
          <w:sz w:val="24"/>
          <w:szCs w:val="24"/>
        </w:rPr>
        <w:t xml:space="preserve">The </w:t>
      </w:r>
      <w:r w:rsidR="002A625E" w:rsidRPr="00026E94">
        <w:rPr>
          <w:sz w:val="24"/>
          <w:szCs w:val="24"/>
        </w:rPr>
        <w:t xml:space="preserve">client </w:t>
      </w:r>
      <w:r w:rsidRPr="00026E94">
        <w:rPr>
          <w:sz w:val="24"/>
          <w:szCs w:val="24"/>
        </w:rPr>
        <w:t xml:space="preserve">must be informed in writing, at this point, of the intention to breach confidentiality and a copy of the authorisation </w:t>
      </w:r>
      <w:r w:rsidR="00DB6750">
        <w:rPr>
          <w:sz w:val="24"/>
          <w:szCs w:val="24"/>
        </w:rPr>
        <w:t xml:space="preserve">and this policy </w:t>
      </w:r>
      <w:r w:rsidRPr="00026E94">
        <w:rPr>
          <w:sz w:val="24"/>
          <w:szCs w:val="24"/>
        </w:rPr>
        <w:t xml:space="preserve">must be forwarded to the </w:t>
      </w:r>
      <w:r w:rsidR="002A625E" w:rsidRPr="00026E94">
        <w:rPr>
          <w:sz w:val="24"/>
          <w:szCs w:val="24"/>
        </w:rPr>
        <w:t>client</w:t>
      </w:r>
      <w:r w:rsidR="00DB6750">
        <w:rPr>
          <w:sz w:val="24"/>
          <w:szCs w:val="24"/>
        </w:rPr>
        <w:t xml:space="preserve">. </w:t>
      </w:r>
      <w:r w:rsidR="00052D0E" w:rsidRPr="00026E94">
        <w:rPr>
          <w:sz w:val="24"/>
          <w:szCs w:val="24"/>
        </w:rPr>
        <w:t xml:space="preserve">The only exception </w:t>
      </w:r>
      <w:r w:rsidR="00072D36">
        <w:rPr>
          <w:sz w:val="24"/>
          <w:szCs w:val="24"/>
        </w:rPr>
        <w:t>are</w:t>
      </w:r>
      <w:r w:rsidR="00052D0E" w:rsidRPr="00026E94">
        <w:rPr>
          <w:sz w:val="24"/>
          <w:szCs w:val="24"/>
        </w:rPr>
        <w:t xml:space="preserve"> where there is a legal obligation or requirement preventing this disclosure</w:t>
      </w:r>
      <w:r w:rsidR="00DB6750">
        <w:rPr>
          <w:sz w:val="24"/>
          <w:szCs w:val="24"/>
        </w:rPr>
        <w:t xml:space="preserve"> to the client</w:t>
      </w:r>
      <w:r w:rsidR="00072D36">
        <w:rPr>
          <w:sz w:val="24"/>
          <w:szCs w:val="24"/>
        </w:rPr>
        <w:t>, and in the case of safeguarding concerns</w:t>
      </w:r>
      <w:r w:rsidR="00052D0E" w:rsidRPr="00026E94">
        <w:rPr>
          <w:sz w:val="24"/>
          <w:szCs w:val="24"/>
        </w:rPr>
        <w:t>.</w:t>
      </w:r>
    </w:p>
    <w:p w14:paraId="47F05376" w14:textId="3358E855" w:rsidR="00D14D66" w:rsidRPr="00026E94" w:rsidRDefault="00D14D66" w:rsidP="00D14D66">
      <w:pPr>
        <w:rPr>
          <w:sz w:val="24"/>
          <w:szCs w:val="24"/>
        </w:rPr>
      </w:pPr>
      <w:r w:rsidRPr="00026E94">
        <w:rPr>
          <w:sz w:val="24"/>
          <w:szCs w:val="24"/>
        </w:rPr>
        <w:t xml:space="preserve">A full written report of the circumstances and procedures applied </w:t>
      </w:r>
      <w:r w:rsidR="00072D36">
        <w:rPr>
          <w:sz w:val="24"/>
          <w:szCs w:val="24"/>
        </w:rPr>
        <w:t>(</w:t>
      </w:r>
      <w:r w:rsidRPr="00026E94">
        <w:rPr>
          <w:sz w:val="24"/>
          <w:szCs w:val="24"/>
        </w:rPr>
        <w:t>with all supporting documentation and including a record of any agreed course of action</w:t>
      </w:r>
      <w:r w:rsidR="00072D36">
        <w:rPr>
          <w:sz w:val="24"/>
          <w:szCs w:val="24"/>
        </w:rPr>
        <w:t>)</w:t>
      </w:r>
      <w:r w:rsidRPr="00026E94">
        <w:rPr>
          <w:sz w:val="24"/>
          <w:szCs w:val="24"/>
        </w:rPr>
        <w:t xml:space="preserve"> must be prepared by the </w:t>
      </w:r>
      <w:r w:rsidR="00D45B0C" w:rsidRPr="00026E94">
        <w:rPr>
          <w:sz w:val="24"/>
          <w:szCs w:val="24"/>
        </w:rPr>
        <w:t>Advice Service Manager</w:t>
      </w:r>
      <w:r w:rsidRPr="00026E94">
        <w:rPr>
          <w:sz w:val="24"/>
          <w:szCs w:val="24"/>
        </w:rPr>
        <w:t xml:space="preserve">.  It is the responsibility of the </w:t>
      </w:r>
      <w:r w:rsidR="00D45B0C" w:rsidRPr="00026E94">
        <w:rPr>
          <w:sz w:val="24"/>
          <w:szCs w:val="24"/>
        </w:rPr>
        <w:t xml:space="preserve">Advice Service Manager </w:t>
      </w:r>
      <w:r w:rsidRPr="00026E94">
        <w:rPr>
          <w:sz w:val="24"/>
          <w:szCs w:val="24"/>
        </w:rPr>
        <w:t>to ensure that the agreed action is taken.</w:t>
      </w:r>
    </w:p>
    <w:p w14:paraId="69BEACDB" w14:textId="28BF29A2" w:rsidR="00D14D66" w:rsidRDefault="00D14D66" w:rsidP="00D14D66">
      <w:pPr>
        <w:rPr>
          <w:sz w:val="24"/>
          <w:szCs w:val="24"/>
        </w:rPr>
      </w:pPr>
      <w:r w:rsidRPr="00026E94">
        <w:rPr>
          <w:sz w:val="24"/>
          <w:szCs w:val="24"/>
        </w:rPr>
        <w:t xml:space="preserve">Should the </w:t>
      </w:r>
      <w:r w:rsidR="002A625E" w:rsidRPr="00026E94">
        <w:rPr>
          <w:sz w:val="24"/>
          <w:szCs w:val="24"/>
        </w:rPr>
        <w:t>client</w:t>
      </w:r>
      <w:r w:rsidRPr="00026E94">
        <w:rPr>
          <w:sz w:val="24"/>
          <w:szCs w:val="24"/>
        </w:rPr>
        <w:t xml:space="preserve"> submit a complaint regarding the breach of confidentiality then this complaint will be dealt with directly by the </w:t>
      </w:r>
      <w:proofErr w:type="spellStart"/>
      <w:r w:rsidR="00D45B0C" w:rsidRPr="00026E94">
        <w:rPr>
          <w:sz w:val="24"/>
          <w:szCs w:val="24"/>
        </w:rPr>
        <w:t>CTiB</w:t>
      </w:r>
      <w:proofErr w:type="spellEnd"/>
      <w:r w:rsidR="00D45B0C" w:rsidRPr="00026E94">
        <w:rPr>
          <w:sz w:val="24"/>
          <w:szCs w:val="24"/>
        </w:rPr>
        <w:t xml:space="preserve"> trustees</w:t>
      </w:r>
      <w:r w:rsidRPr="00026E94">
        <w:rPr>
          <w:sz w:val="24"/>
          <w:szCs w:val="24"/>
        </w:rPr>
        <w:t xml:space="preserve"> </w:t>
      </w:r>
      <w:r w:rsidR="00D45B0C" w:rsidRPr="00026E94">
        <w:rPr>
          <w:sz w:val="24"/>
          <w:szCs w:val="24"/>
        </w:rPr>
        <w:t xml:space="preserve">or </w:t>
      </w:r>
      <w:r w:rsidRPr="00026E94">
        <w:rPr>
          <w:sz w:val="24"/>
          <w:szCs w:val="24"/>
        </w:rPr>
        <w:t xml:space="preserve">any other person[s] delegated by the chair.  Complaints are dealt with separately under the </w:t>
      </w:r>
      <w:proofErr w:type="spellStart"/>
      <w:r w:rsidR="00DB6750">
        <w:rPr>
          <w:sz w:val="24"/>
          <w:szCs w:val="24"/>
        </w:rPr>
        <w:t>CTiB</w:t>
      </w:r>
      <w:proofErr w:type="spellEnd"/>
      <w:r w:rsidRPr="00026E94">
        <w:rPr>
          <w:sz w:val="24"/>
          <w:szCs w:val="24"/>
        </w:rPr>
        <w:t xml:space="preserve"> Complaints Procedure.</w:t>
      </w:r>
    </w:p>
    <w:p w14:paraId="682029DE" w14:textId="77777777" w:rsidR="00026E94" w:rsidRDefault="00026E94" w:rsidP="00D14D66">
      <w:pPr>
        <w:rPr>
          <w:sz w:val="24"/>
          <w:szCs w:val="24"/>
        </w:rPr>
      </w:pPr>
    </w:p>
    <w:p w14:paraId="2DD4CA99" w14:textId="77777777" w:rsidR="00DB6750" w:rsidRDefault="00DB6750" w:rsidP="00D14D66">
      <w:pPr>
        <w:rPr>
          <w:sz w:val="24"/>
          <w:szCs w:val="24"/>
        </w:rPr>
      </w:pPr>
    </w:p>
    <w:p w14:paraId="11622B57" w14:textId="77777777" w:rsidR="00DB6750" w:rsidRDefault="00DB6750" w:rsidP="00D14D66">
      <w:pPr>
        <w:rPr>
          <w:sz w:val="24"/>
          <w:szCs w:val="24"/>
        </w:rPr>
      </w:pPr>
    </w:p>
    <w:p w14:paraId="7D2A4231" w14:textId="77777777" w:rsidR="00DB6750" w:rsidRPr="00026E94" w:rsidRDefault="00DB6750" w:rsidP="00D14D66">
      <w:pPr>
        <w:rPr>
          <w:sz w:val="24"/>
          <w:szCs w:val="24"/>
        </w:rPr>
      </w:pPr>
    </w:p>
    <w:p w14:paraId="52FA4957" w14:textId="4B6518C7" w:rsidR="00D14D66" w:rsidRPr="00026E94" w:rsidRDefault="00052D0E" w:rsidP="00D14D66">
      <w:pPr>
        <w:rPr>
          <w:b/>
          <w:bCs/>
          <w:color w:val="00B050"/>
          <w:sz w:val="28"/>
          <w:szCs w:val="28"/>
        </w:rPr>
      </w:pPr>
      <w:r w:rsidRPr="00026E94">
        <w:rPr>
          <w:b/>
          <w:bCs/>
          <w:color w:val="00B050"/>
          <w:sz w:val="28"/>
          <w:szCs w:val="28"/>
        </w:rPr>
        <w:lastRenderedPageBreak/>
        <w:t>Disclosures required by law</w:t>
      </w:r>
    </w:p>
    <w:p w14:paraId="0DEFC9FB" w14:textId="43C21489" w:rsidR="00052D0E" w:rsidRPr="00026E94" w:rsidRDefault="00B1441D" w:rsidP="00D14D66">
      <w:pPr>
        <w:rPr>
          <w:sz w:val="24"/>
          <w:szCs w:val="24"/>
        </w:rPr>
      </w:pPr>
      <w:r w:rsidRPr="00026E94">
        <w:rPr>
          <w:sz w:val="24"/>
          <w:szCs w:val="24"/>
        </w:rPr>
        <w:t>Legal rules may affect client confidentiality in the following circumstances:</w:t>
      </w:r>
    </w:p>
    <w:p w14:paraId="4FCAE622" w14:textId="129F7C38" w:rsidR="00B1441D" w:rsidRPr="00026E94" w:rsidRDefault="00B54AFC" w:rsidP="00B1441D">
      <w:pPr>
        <w:pStyle w:val="ListParagraph"/>
        <w:numPr>
          <w:ilvl w:val="0"/>
          <w:numId w:val="5"/>
        </w:numPr>
        <w:rPr>
          <w:sz w:val="24"/>
          <w:szCs w:val="24"/>
        </w:rPr>
      </w:pPr>
      <w:r>
        <w:rPr>
          <w:sz w:val="24"/>
          <w:szCs w:val="24"/>
        </w:rPr>
        <w:t>Under the Terrorism Act 2006 a</w:t>
      </w:r>
      <w:r w:rsidR="00B1441D" w:rsidRPr="00026E94">
        <w:rPr>
          <w:sz w:val="24"/>
          <w:szCs w:val="24"/>
        </w:rPr>
        <w:t>dvice service staff must disclose to the relevant authority if information is disclosed to them that may help prevent acts of terrorism or apprehend a terrorist.</w:t>
      </w:r>
    </w:p>
    <w:p w14:paraId="6090313C" w14:textId="740FABF3" w:rsidR="00B1441D" w:rsidRPr="00026E94" w:rsidRDefault="00B1441D" w:rsidP="00B1441D">
      <w:pPr>
        <w:pStyle w:val="ListParagraph"/>
        <w:numPr>
          <w:ilvl w:val="0"/>
          <w:numId w:val="5"/>
        </w:numPr>
        <w:rPr>
          <w:sz w:val="24"/>
          <w:szCs w:val="24"/>
        </w:rPr>
      </w:pPr>
      <w:r w:rsidRPr="00026E94">
        <w:rPr>
          <w:sz w:val="24"/>
          <w:szCs w:val="24"/>
        </w:rPr>
        <w:t>Under the Proceeds of Crime Act 2002</w:t>
      </w:r>
      <w:r w:rsidR="00B54AFC">
        <w:rPr>
          <w:sz w:val="24"/>
          <w:szCs w:val="24"/>
        </w:rPr>
        <w:t>, T</w:t>
      </w:r>
      <w:r w:rsidRPr="00026E94">
        <w:rPr>
          <w:sz w:val="24"/>
          <w:szCs w:val="24"/>
        </w:rPr>
        <w:t>he Money Laundering Regulatio</w:t>
      </w:r>
      <w:r w:rsidR="00B54AFC">
        <w:rPr>
          <w:sz w:val="24"/>
          <w:szCs w:val="24"/>
        </w:rPr>
        <w:t xml:space="preserve">ns </w:t>
      </w:r>
      <w:r w:rsidRPr="00026E94">
        <w:rPr>
          <w:sz w:val="24"/>
          <w:szCs w:val="24"/>
        </w:rPr>
        <w:t xml:space="preserve">2003 </w:t>
      </w:r>
      <w:r w:rsidR="00B54AFC">
        <w:rPr>
          <w:sz w:val="24"/>
          <w:szCs w:val="24"/>
        </w:rPr>
        <w:t xml:space="preserve">and The Drug Trafficking Act 1994 </w:t>
      </w:r>
      <w:r w:rsidRPr="00026E94">
        <w:rPr>
          <w:sz w:val="24"/>
          <w:szCs w:val="24"/>
        </w:rPr>
        <w:t>advisors are obliged to report any disclosure of information about a transaction that they know, suspect or ought reasonably to have known or suspected, involves money laundering.</w:t>
      </w:r>
    </w:p>
    <w:p w14:paraId="3BFC098F" w14:textId="77777777" w:rsidR="00B1441D" w:rsidRDefault="00D14D66" w:rsidP="00D14D66">
      <w:pPr>
        <w:rPr>
          <w:sz w:val="24"/>
          <w:szCs w:val="24"/>
        </w:rPr>
      </w:pPr>
      <w:r w:rsidRPr="00026E94">
        <w:rPr>
          <w:sz w:val="24"/>
          <w:szCs w:val="24"/>
        </w:rPr>
        <w:t>​</w:t>
      </w:r>
    </w:p>
    <w:p w14:paraId="04D7F3E6" w14:textId="2240A897" w:rsidR="00D03067" w:rsidRPr="00D03067" w:rsidRDefault="00D03067" w:rsidP="00D14D66">
      <w:pPr>
        <w:rPr>
          <w:b/>
          <w:bCs/>
          <w:color w:val="00B050"/>
          <w:sz w:val="28"/>
          <w:szCs w:val="28"/>
        </w:rPr>
      </w:pPr>
      <w:r w:rsidRPr="00D03067">
        <w:rPr>
          <w:b/>
          <w:bCs/>
          <w:color w:val="00B050"/>
          <w:sz w:val="28"/>
          <w:szCs w:val="28"/>
        </w:rPr>
        <w:t>Death of a client</w:t>
      </w:r>
    </w:p>
    <w:p w14:paraId="31F5EF3A" w14:textId="5D917C70" w:rsidR="00D03067" w:rsidRDefault="00D03067" w:rsidP="00D14D66">
      <w:pPr>
        <w:rPr>
          <w:sz w:val="24"/>
          <w:szCs w:val="24"/>
        </w:rPr>
      </w:pPr>
      <w:r>
        <w:rPr>
          <w:sz w:val="24"/>
          <w:szCs w:val="24"/>
        </w:rPr>
        <w:t xml:space="preserve">Our duty of confidentiality to the client does not end with death. If a client has died, information relating to the records we hold should only be given to the dead person’s executor or personal representative. Evidence of this status should be obtained and kept on file if information is released. </w:t>
      </w:r>
    </w:p>
    <w:p w14:paraId="3BE199BB" w14:textId="77777777" w:rsidR="00D03067" w:rsidRPr="00026E94" w:rsidRDefault="00D03067" w:rsidP="00D14D66">
      <w:pPr>
        <w:rPr>
          <w:sz w:val="24"/>
          <w:szCs w:val="24"/>
        </w:rPr>
      </w:pPr>
    </w:p>
    <w:p w14:paraId="11F9C741" w14:textId="7916F9D5" w:rsidR="00D14D66" w:rsidRPr="00026E94" w:rsidRDefault="0053721B" w:rsidP="00D14D66">
      <w:pPr>
        <w:rPr>
          <w:sz w:val="28"/>
          <w:szCs w:val="28"/>
        </w:rPr>
      </w:pPr>
      <w:r w:rsidRPr="00026E94">
        <w:rPr>
          <w:b/>
          <w:bCs/>
          <w:color w:val="00B050"/>
          <w:sz w:val="28"/>
          <w:szCs w:val="28"/>
        </w:rPr>
        <w:t>En</w:t>
      </w:r>
      <w:r w:rsidR="00D14D66" w:rsidRPr="00026E94">
        <w:rPr>
          <w:b/>
          <w:bCs/>
          <w:color w:val="00B050"/>
          <w:sz w:val="28"/>
          <w:szCs w:val="28"/>
        </w:rPr>
        <w:t>suring the effectiveness of the policy</w:t>
      </w:r>
    </w:p>
    <w:p w14:paraId="36FB745A" w14:textId="4D38113A" w:rsidR="005A797D" w:rsidRDefault="00D14D66" w:rsidP="00D14D66">
      <w:pPr>
        <w:rPr>
          <w:sz w:val="24"/>
          <w:szCs w:val="24"/>
        </w:rPr>
      </w:pPr>
      <w:r w:rsidRPr="00026E94">
        <w:rPr>
          <w:sz w:val="24"/>
          <w:szCs w:val="24"/>
        </w:rPr>
        <w:t xml:space="preserve">All </w:t>
      </w:r>
      <w:r w:rsidR="00DB6750">
        <w:rPr>
          <w:sz w:val="24"/>
          <w:szCs w:val="24"/>
        </w:rPr>
        <w:t>t</w:t>
      </w:r>
      <w:r w:rsidR="006E2BBF" w:rsidRPr="00026E94">
        <w:rPr>
          <w:sz w:val="24"/>
          <w:szCs w:val="24"/>
        </w:rPr>
        <w:t xml:space="preserve">rustees, </w:t>
      </w:r>
      <w:r w:rsidR="00DB6750">
        <w:rPr>
          <w:sz w:val="24"/>
          <w:szCs w:val="24"/>
        </w:rPr>
        <w:t>s</w:t>
      </w:r>
      <w:r w:rsidR="006E2BBF" w:rsidRPr="00026E94">
        <w:rPr>
          <w:sz w:val="24"/>
          <w:szCs w:val="24"/>
        </w:rPr>
        <w:t>taff</w:t>
      </w:r>
      <w:r w:rsidR="00B54AFC">
        <w:rPr>
          <w:sz w:val="24"/>
          <w:szCs w:val="24"/>
        </w:rPr>
        <w:t xml:space="preserve">, </w:t>
      </w:r>
      <w:r w:rsidR="00DB6750">
        <w:rPr>
          <w:sz w:val="24"/>
          <w:szCs w:val="24"/>
        </w:rPr>
        <w:t>m</w:t>
      </w:r>
      <w:r w:rsidRPr="00026E94">
        <w:rPr>
          <w:sz w:val="24"/>
          <w:szCs w:val="24"/>
        </w:rPr>
        <w:t xml:space="preserve">anagement </w:t>
      </w:r>
      <w:r w:rsidR="00DB6750">
        <w:rPr>
          <w:sz w:val="24"/>
          <w:szCs w:val="24"/>
        </w:rPr>
        <w:t>c</w:t>
      </w:r>
      <w:r w:rsidRPr="00026E94">
        <w:rPr>
          <w:sz w:val="24"/>
          <w:szCs w:val="24"/>
        </w:rPr>
        <w:t xml:space="preserve">ommittee </w:t>
      </w:r>
      <w:r w:rsidR="00DB6750">
        <w:rPr>
          <w:sz w:val="24"/>
          <w:szCs w:val="24"/>
        </w:rPr>
        <w:t>m</w:t>
      </w:r>
      <w:r w:rsidRPr="00026E94">
        <w:rPr>
          <w:sz w:val="24"/>
          <w:szCs w:val="24"/>
        </w:rPr>
        <w:t>embers</w:t>
      </w:r>
      <w:r w:rsidR="00B54AFC">
        <w:rPr>
          <w:sz w:val="24"/>
          <w:szCs w:val="24"/>
        </w:rPr>
        <w:t xml:space="preserve"> and advice service volunteers</w:t>
      </w:r>
      <w:r w:rsidRPr="00026E94">
        <w:rPr>
          <w:sz w:val="24"/>
          <w:szCs w:val="24"/>
        </w:rPr>
        <w:t xml:space="preserve"> will receive a copy of the policy.  The policy will be reviewed annually by the Advice </w:t>
      </w:r>
      <w:r w:rsidR="006E2BBF" w:rsidRPr="00026E94">
        <w:rPr>
          <w:sz w:val="24"/>
          <w:szCs w:val="24"/>
        </w:rPr>
        <w:t>Service Manager</w:t>
      </w:r>
      <w:r w:rsidRPr="00026E94">
        <w:rPr>
          <w:sz w:val="24"/>
          <w:szCs w:val="24"/>
        </w:rPr>
        <w:t xml:space="preserve"> and any amendments or alterations will be proposed and agreed by the </w:t>
      </w:r>
      <w:r w:rsidR="006E2BBF" w:rsidRPr="00026E94">
        <w:rPr>
          <w:sz w:val="24"/>
          <w:szCs w:val="24"/>
        </w:rPr>
        <w:t>Project Manager and Trustees.</w:t>
      </w:r>
    </w:p>
    <w:p w14:paraId="58D5FDB8" w14:textId="6C15DFCD" w:rsidR="00B54AFC" w:rsidRPr="005A797D" w:rsidRDefault="00B54AFC" w:rsidP="00D14D66">
      <w:pPr>
        <w:rPr>
          <w:sz w:val="24"/>
          <w:szCs w:val="24"/>
        </w:rPr>
      </w:pPr>
      <w:r>
        <w:rPr>
          <w:sz w:val="24"/>
          <w:szCs w:val="24"/>
        </w:rPr>
        <w:t>All staff and volunteers must sign the confidentiality declaration before commencing service.</w:t>
      </w:r>
    </w:p>
    <w:p w14:paraId="36A2E14C" w14:textId="77777777" w:rsidR="005A797D" w:rsidRDefault="005A797D" w:rsidP="00D14D66">
      <w:pPr>
        <w:rPr>
          <w:i/>
          <w:iCs/>
          <w:sz w:val="24"/>
          <w:szCs w:val="24"/>
        </w:rPr>
      </w:pPr>
    </w:p>
    <w:p w14:paraId="76C095CE" w14:textId="77777777" w:rsidR="005A797D" w:rsidRDefault="005A797D" w:rsidP="00D14D66">
      <w:pPr>
        <w:rPr>
          <w:i/>
          <w:iCs/>
          <w:sz w:val="24"/>
          <w:szCs w:val="24"/>
        </w:rPr>
      </w:pPr>
    </w:p>
    <w:p w14:paraId="0FE198E7" w14:textId="67E9EE25" w:rsidR="005A797D" w:rsidRDefault="005A797D" w:rsidP="00D14D66">
      <w:pPr>
        <w:rPr>
          <w:i/>
          <w:iCs/>
          <w:sz w:val="24"/>
          <w:szCs w:val="24"/>
        </w:rPr>
      </w:pPr>
      <w:r w:rsidRPr="00026E94">
        <w:rPr>
          <w:noProof/>
          <w:sz w:val="24"/>
          <w:szCs w:val="24"/>
        </w:rPr>
        <w:drawing>
          <wp:anchor distT="0" distB="0" distL="114300" distR="114300" simplePos="0" relativeHeight="251660288" behindDoc="1" locked="0" layoutInCell="1" allowOverlap="1" wp14:anchorId="1F69AAFB" wp14:editId="1461FEE0">
            <wp:simplePos x="0" y="0"/>
            <wp:positionH relativeFrom="margin">
              <wp:align>left</wp:align>
            </wp:positionH>
            <wp:positionV relativeFrom="paragraph">
              <wp:posOffset>127000</wp:posOffset>
            </wp:positionV>
            <wp:extent cx="1959610" cy="1102253"/>
            <wp:effectExtent l="0" t="0" r="2540" b="3175"/>
            <wp:wrapTight wrapText="bothSides">
              <wp:wrapPolygon edited="0">
                <wp:start x="0" y="0"/>
                <wp:lineTo x="0" y="21289"/>
                <wp:lineTo x="21418" y="21289"/>
                <wp:lineTo x="21418" y="0"/>
                <wp:lineTo x="0" y="0"/>
              </wp:wrapPolygon>
            </wp:wrapTight>
            <wp:docPr id="437266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66348" name="Picture 43726634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9610" cy="1102253"/>
                    </a:xfrm>
                    <a:prstGeom prst="rect">
                      <a:avLst/>
                    </a:prstGeom>
                  </pic:spPr>
                </pic:pic>
              </a:graphicData>
            </a:graphic>
          </wp:anchor>
        </w:drawing>
      </w:r>
    </w:p>
    <w:p w14:paraId="64795517" w14:textId="236798F8" w:rsidR="008C79E7" w:rsidRPr="006D3CC3" w:rsidRDefault="008C79E7" w:rsidP="00072D36">
      <w:pPr>
        <w:rPr>
          <w:sz w:val="24"/>
          <w:szCs w:val="24"/>
        </w:rPr>
      </w:pPr>
      <w:bookmarkStart w:id="0" w:name="_Hlk161000107"/>
      <w:r w:rsidRPr="00072D36">
        <w:rPr>
          <w:i/>
          <w:iCs/>
          <w:sz w:val="24"/>
          <w:szCs w:val="24"/>
        </w:rPr>
        <w:t>Bexhill</w:t>
      </w:r>
      <w:r w:rsidRPr="00026E94">
        <w:rPr>
          <w:i/>
          <w:iCs/>
          <w:sz w:val="24"/>
          <w:szCs w:val="24"/>
        </w:rPr>
        <w:t xml:space="preserve"> Foodbank and the Bexhill Foodbank Advice Service are social projects of the charity Churches Together in Bexhill. Registered charity number 1205042 / Registered in England and Wales</w:t>
      </w:r>
      <w:r w:rsidRPr="00026E94">
        <w:rPr>
          <w:sz w:val="24"/>
          <w:szCs w:val="24"/>
        </w:rPr>
        <w:t>.</w:t>
      </w:r>
      <w:r w:rsidR="00072D36">
        <w:rPr>
          <w:sz w:val="24"/>
          <w:szCs w:val="24"/>
        </w:rPr>
        <w:t xml:space="preserve"> </w:t>
      </w:r>
    </w:p>
    <w:bookmarkEnd w:id="0"/>
    <w:p w14:paraId="7FA0CB21" w14:textId="77777777" w:rsidR="00216D29" w:rsidRPr="006D3CC3" w:rsidRDefault="00216D29">
      <w:pPr>
        <w:rPr>
          <w:sz w:val="24"/>
          <w:szCs w:val="24"/>
        </w:rPr>
      </w:pPr>
    </w:p>
    <w:sectPr w:rsidR="00216D29" w:rsidRPr="006D3CC3" w:rsidSect="00E65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3C3"/>
    <w:multiLevelType w:val="hybridMultilevel"/>
    <w:tmpl w:val="FC1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B4E08"/>
    <w:multiLevelType w:val="hybridMultilevel"/>
    <w:tmpl w:val="AC7C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F1D45"/>
    <w:multiLevelType w:val="hybridMultilevel"/>
    <w:tmpl w:val="10A0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26D8E"/>
    <w:multiLevelType w:val="hybridMultilevel"/>
    <w:tmpl w:val="4FA6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D09"/>
    <w:multiLevelType w:val="hybridMultilevel"/>
    <w:tmpl w:val="1224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86C63"/>
    <w:multiLevelType w:val="hybridMultilevel"/>
    <w:tmpl w:val="BD4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693231">
    <w:abstractNumId w:val="4"/>
  </w:num>
  <w:num w:numId="2" w16cid:durableId="263804127">
    <w:abstractNumId w:val="2"/>
  </w:num>
  <w:num w:numId="3" w16cid:durableId="1693453948">
    <w:abstractNumId w:val="3"/>
  </w:num>
  <w:num w:numId="4" w16cid:durableId="1095981165">
    <w:abstractNumId w:val="0"/>
  </w:num>
  <w:num w:numId="5" w16cid:durableId="1844322923">
    <w:abstractNumId w:val="1"/>
  </w:num>
  <w:num w:numId="6" w16cid:durableId="456605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66"/>
    <w:rsid w:val="00026E94"/>
    <w:rsid w:val="00052D0E"/>
    <w:rsid w:val="00072D36"/>
    <w:rsid w:val="000D0EBD"/>
    <w:rsid w:val="001D0D4D"/>
    <w:rsid w:val="00216D29"/>
    <w:rsid w:val="002A625E"/>
    <w:rsid w:val="002D46CC"/>
    <w:rsid w:val="0053721B"/>
    <w:rsid w:val="005A797D"/>
    <w:rsid w:val="006D3CC3"/>
    <w:rsid w:val="006E2BBF"/>
    <w:rsid w:val="007739D7"/>
    <w:rsid w:val="00793338"/>
    <w:rsid w:val="007974DE"/>
    <w:rsid w:val="007C3586"/>
    <w:rsid w:val="008B09CD"/>
    <w:rsid w:val="008C4C94"/>
    <w:rsid w:val="008C79E7"/>
    <w:rsid w:val="008E5943"/>
    <w:rsid w:val="00A46AD0"/>
    <w:rsid w:val="00B1441D"/>
    <w:rsid w:val="00B54AFC"/>
    <w:rsid w:val="00B57F49"/>
    <w:rsid w:val="00BC7BB1"/>
    <w:rsid w:val="00D03067"/>
    <w:rsid w:val="00D14D66"/>
    <w:rsid w:val="00D45B0C"/>
    <w:rsid w:val="00DB6750"/>
    <w:rsid w:val="00DB72D1"/>
    <w:rsid w:val="00DE5E41"/>
    <w:rsid w:val="00E652AB"/>
    <w:rsid w:val="00F27584"/>
    <w:rsid w:val="00F415D7"/>
    <w:rsid w:val="00F4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18BC"/>
  <w15:chartTrackingRefBased/>
  <w15:docId w15:val="{832A36C7-288E-4C2E-8D60-CC50C221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9E7"/>
    <w:pPr>
      <w:suppressAutoHyphens/>
      <w:autoSpaceDE w:val="0"/>
      <w:spacing w:after="0" w:line="240" w:lineRule="auto"/>
    </w:pPr>
    <w:rPr>
      <w:rFonts w:ascii="Arial" w:eastAsia="Calibri" w:hAnsi="Arial" w:cs="Arial"/>
      <w:color w:val="000000"/>
      <w:sz w:val="24"/>
      <w:szCs w:val="24"/>
      <w:lang w:eastAsia="zh-CN"/>
    </w:rPr>
  </w:style>
  <w:style w:type="paragraph" w:styleId="ListParagraph">
    <w:name w:val="List Paragraph"/>
    <w:basedOn w:val="Normal"/>
    <w:uiPriority w:val="34"/>
    <w:qFormat/>
    <w:rsid w:val="00BC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051">
      <w:bodyDiv w:val="1"/>
      <w:marLeft w:val="0"/>
      <w:marRight w:val="0"/>
      <w:marTop w:val="0"/>
      <w:marBottom w:val="0"/>
      <w:divBdr>
        <w:top w:val="none" w:sz="0" w:space="0" w:color="auto"/>
        <w:left w:val="none" w:sz="0" w:space="0" w:color="auto"/>
        <w:bottom w:val="none" w:sz="0" w:space="0" w:color="auto"/>
        <w:right w:val="none" w:sz="0" w:space="0" w:color="auto"/>
      </w:divBdr>
      <w:divsChild>
        <w:div w:id="153492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Bexhill Foodbank System Admin</dc:creator>
  <cp:keywords/>
  <dc:description/>
  <cp:lastModifiedBy>Battle Foodbank Main</cp:lastModifiedBy>
  <cp:revision>2</cp:revision>
  <cp:lastPrinted>2024-03-20T21:34:00Z</cp:lastPrinted>
  <dcterms:created xsi:type="dcterms:W3CDTF">2024-04-16T08:28:00Z</dcterms:created>
  <dcterms:modified xsi:type="dcterms:W3CDTF">2024-04-16T08:28:00Z</dcterms:modified>
</cp:coreProperties>
</file>